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4718" w14:textId="080EBFDD" w:rsidR="00262089" w:rsidRDefault="00262089" w:rsidP="00AE199E">
      <w:pPr>
        <w:pStyle w:val="nagwkiopz"/>
        <w:numPr>
          <w:ilvl w:val="0"/>
          <w:numId w:val="0"/>
        </w:numPr>
        <w:ind w:left="1080" w:hanging="720"/>
      </w:pPr>
    </w:p>
    <w:p w14:paraId="4660C33B" w14:textId="77777777" w:rsidR="005E6864" w:rsidRDefault="005E6864" w:rsidP="005E6864">
      <w:pPr>
        <w:spacing w:before="120" w:after="120" w:line="240" w:lineRule="auto"/>
        <w:jc w:val="right"/>
        <w:rPr>
          <w:b/>
          <w:sz w:val="24"/>
          <w:szCs w:val="24"/>
        </w:rPr>
      </w:pPr>
      <w:r w:rsidRPr="001574DF">
        <w:rPr>
          <w:b/>
          <w:sz w:val="24"/>
          <w:szCs w:val="24"/>
        </w:rPr>
        <w:t>Załącznik nr 1</w:t>
      </w:r>
    </w:p>
    <w:p w14:paraId="5363C813" w14:textId="77777777" w:rsidR="00AE199E" w:rsidRDefault="00AE199E" w:rsidP="00AE199E">
      <w:pPr>
        <w:pStyle w:val="nagwkiopz"/>
        <w:numPr>
          <w:ilvl w:val="0"/>
          <w:numId w:val="0"/>
        </w:numPr>
        <w:ind w:left="1080" w:hanging="720"/>
      </w:pPr>
    </w:p>
    <w:p w14:paraId="20A218B0" w14:textId="77777777" w:rsidR="00AE199E" w:rsidRPr="001574DF" w:rsidRDefault="00AE199E" w:rsidP="00AE199E">
      <w:pPr>
        <w:spacing w:before="120" w:after="120" w:line="240" w:lineRule="auto"/>
        <w:jc w:val="center"/>
        <w:rPr>
          <w:b/>
          <w:sz w:val="24"/>
          <w:szCs w:val="24"/>
          <w:u w:val="single"/>
        </w:rPr>
      </w:pPr>
      <w:r>
        <w:rPr>
          <w:b/>
          <w:sz w:val="24"/>
          <w:szCs w:val="24"/>
          <w:u w:val="single"/>
        </w:rPr>
        <w:t>Wstępny zakres zamówienia</w:t>
      </w:r>
    </w:p>
    <w:p w14:paraId="35FF5D11" w14:textId="77777777" w:rsidR="00AE199E" w:rsidRDefault="00AE199E" w:rsidP="00AE199E">
      <w:pPr>
        <w:pStyle w:val="nagwkiopz"/>
        <w:numPr>
          <w:ilvl w:val="0"/>
          <w:numId w:val="0"/>
        </w:numPr>
        <w:ind w:left="1080" w:hanging="720"/>
      </w:pPr>
    </w:p>
    <w:p w14:paraId="43244C52" w14:textId="5697B1E1" w:rsidR="006C155B" w:rsidRPr="00B363AB" w:rsidRDefault="006C155B" w:rsidP="006C155B">
      <w:pPr>
        <w:pStyle w:val="nagwkiopz"/>
        <w:numPr>
          <w:ilvl w:val="0"/>
          <w:numId w:val="0"/>
        </w:numPr>
        <w:ind w:left="1080"/>
        <w:jc w:val="center"/>
        <w:rPr>
          <w:lang w:eastAsia="zh-CN"/>
        </w:rPr>
      </w:pPr>
      <w:bookmarkStart w:id="0" w:name="_Hlk14094676"/>
      <w:r w:rsidRPr="00B363AB">
        <w:rPr>
          <w:lang w:eastAsia="zh-CN"/>
        </w:rPr>
        <w:t>„</w:t>
      </w:r>
      <w:r w:rsidRPr="00CF6D61">
        <w:rPr>
          <w:lang w:eastAsia="zh-CN"/>
        </w:rPr>
        <w:t>Opracowanie projektów II</w:t>
      </w:r>
      <w:r>
        <w:rPr>
          <w:lang w:eastAsia="zh-CN"/>
        </w:rPr>
        <w:t xml:space="preserve"> </w:t>
      </w:r>
      <w:r w:rsidRPr="00CF6D61">
        <w:rPr>
          <w:lang w:eastAsia="zh-CN"/>
        </w:rPr>
        <w:t>aktualizacji planów</w:t>
      </w:r>
      <w:r>
        <w:rPr>
          <w:lang w:eastAsia="zh-CN"/>
        </w:rPr>
        <w:t xml:space="preserve"> </w:t>
      </w:r>
      <w:r w:rsidRPr="00CF6D61">
        <w:rPr>
          <w:lang w:eastAsia="zh-CN"/>
        </w:rPr>
        <w:t>gospodarowania wodami na</w:t>
      </w:r>
      <w:r>
        <w:rPr>
          <w:lang w:eastAsia="zh-CN"/>
        </w:rPr>
        <w:t xml:space="preserve"> </w:t>
      </w:r>
      <w:r w:rsidRPr="00CF6D61">
        <w:rPr>
          <w:lang w:eastAsia="zh-CN"/>
        </w:rPr>
        <w:t>obszarach dorzeczy (</w:t>
      </w:r>
      <w:r w:rsidR="0043328C">
        <w:rPr>
          <w:lang w:eastAsia="zh-CN"/>
        </w:rPr>
        <w:t xml:space="preserve">II </w:t>
      </w:r>
      <w:proofErr w:type="spellStart"/>
      <w:r w:rsidRPr="00CF6D61">
        <w:rPr>
          <w:lang w:eastAsia="zh-CN"/>
        </w:rPr>
        <w:t>aPGW</w:t>
      </w:r>
      <w:proofErr w:type="spellEnd"/>
      <w:r w:rsidRPr="00CF6D61">
        <w:rPr>
          <w:lang w:eastAsia="zh-CN"/>
        </w:rPr>
        <w:t>)</w:t>
      </w:r>
      <w:r>
        <w:rPr>
          <w:lang w:eastAsia="zh-CN"/>
        </w:rPr>
        <w:t xml:space="preserve"> </w:t>
      </w:r>
      <w:r w:rsidRPr="00CF6D61">
        <w:rPr>
          <w:lang w:eastAsia="zh-CN"/>
        </w:rPr>
        <w:t>wraz z metodykami</w:t>
      </w:r>
      <w:r>
        <w:rPr>
          <w:lang w:eastAsia="zh-CN"/>
        </w:rPr>
        <w:t>”</w:t>
      </w:r>
    </w:p>
    <w:bookmarkEnd w:id="0"/>
    <w:p w14:paraId="6290AF24" w14:textId="77777777" w:rsidR="006C155B" w:rsidRDefault="006C155B" w:rsidP="006C155B">
      <w:pPr>
        <w:pStyle w:val="nagwkiopz"/>
        <w:numPr>
          <w:ilvl w:val="0"/>
          <w:numId w:val="0"/>
        </w:numPr>
        <w:ind w:left="709"/>
      </w:pPr>
    </w:p>
    <w:p w14:paraId="639BF19C" w14:textId="77777777" w:rsidR="006C155B" w:rsidRDefault="006C155B" w:rsidP="006C155B">
      <w:pPr>
        <w:pStyle w:val="nagwkiopz"/>
        <w:ind w:left="709"/>
      </w:pPr>
      <w:r>
        <w:t>CEL WYKONYWANYCH USŁUG</w:t>
      </w:r>
    </w:p>
    <w:p w14:paraId="7090DF56" w14:textId="77777777" w:rsidR="006C155B" w:rsidRDefault="006C155B" w:rsidP="006C155B">
      <w:pPr>
        <w:pStyle w:val="nagwkiopz"/>
        <w:numPr>
          <w:ilvl w:val="0"/>
          <w:numId w:val="0"/>
        </w:numPr>
        <w:spacing w:after="0"/>
        <w:contextualSpacing w:val="0"/>
        <w:rPr>
          <w:b w:val="0"/>
        </w:rPr>
      </w:pPr>
    </w:p>
    <w:p w14:paraId="00D4D524" w14:textId="7FC2DA8D" w:rsidR="006C155B" w:rsidRPr="006C155B" w:rsidRDefault="006C155B" w:rsidP="006C155B">
      <w:r w:rsidRPr="006C155B">
        <w:t xml:space="preserve">Ramowa Dyrektywa Wodna 2000/60/WE (RDW) z dnia 23 października 2000 r. ustanawiająca ramy wspólnotowego działania w dziedzinie polityki wodnej jest wynikiem wieloletnich prac Wspólnot Europejskich zmierzających do lepszej ochrony wód poprzez wprowadzenie wspólnej europejskiej polityki wodnej, opartej na przejrzystych, efektywnych i spójnych ramach legislacyjnych. Zobowiązuje państwa członkowskie do racjonalnego wykorzystywania i ochrony zasobów wodnych w myśl zasady zrównoważonego rozwoju. </w:t>
      </w:r>
      <w:r w:rsidR="00EE2097">
        <w:t xml:space="preserve">Plany gospodarowania wodami na obszarach dorzeczy zaliczane są do podstawowych dokumentów </w:t>
      </w:r>
      <w:r w:rsidR="00EE2097" w:rsidRPr="006C155B">
        <w:t>planistyczny</w:t>
      </w:r>
      <w:r w:rsidR="00EE2097">
        <w:t>ch , których opracowanie i aktualizacja wymagana jest</w:t>
      </w:r>
      <w:r w:rsidR="00EE2097" w:rsidRPr="006C155B">
        <w:t xml:space="preserve"> przepisami RDW i ustawy </w:t>
      </w:r>
      <w:r w:rsidR="00EE2097">
        <w:t xml:space="preserve">z dnia 20 lipca 2017 r. </w:t>
      </w:r>
      <w:r w:rsidR="00EE2097" w:rsidRPr="006C155B">
        <w:t xml:space="preserve">Prawo wodne </w:t>
      </w:r>
      <w:r w:rsidR="00EE2097">
        <w:t>(Dz. U. z 2018 r. poz. 2268 ze zm.)</w:t>
      </w:r>
      <w:r w:rsidRPr="006C155B">
        <w:t>. Dokumenty te stanowią podstawę podejmowania decyzji kształ</w:t>
      </w:r>
      <w:r w:rsidR="00C316CC">
        <w:t>tujących stan zasobów wodnych i </w:t>
      </w:r>
      <w:r w:rsidRPr="006C155B">
        <w:t>zasady gospodarowania nimi w przyszłości. Ponadto służą między innymi koordynowaniu działań mających na celu osiągnięcie lub utrzymanie co najmniej dobrego stanu wód oraz ekosystemów od wody zależnych, poprawę stanu zasobów wodnych, poprawę możliwości korzystania z wód, zmniejszenie ilości wprowadzanych do wód lub do ziemi substancji mogących negatywnie oddziaływać na wody, poprawę ochrony przeciwpowodziowej</w:t>
      </w:r>
      <w:r w:rsidR="00B109C0">
        <w:t xml:space="preserve"> oraz przeciwdziałaniu skutkom suszy</w:t>
      </w:r>
      <w:r w:rsidRPr="006C155B">
        <w:t>.</w:t>
      </w:r>
    </w:p>
    <w:p w14:paraId="000172F7" w14:textId="77777777" w:rsidR="006C155B" w:rsidRDefault="006C155B" w:rsidP="006C155B">
      <w:r w:rsidRPr="006C155B">
        <w:t>Realizacja niniejszego zamówienia pozwoli na wypełnienie przez Polskę postanowień RDW oraz ustawy Prawo wodne w zakresie cyklicznej aktualizacji planów gospodarowania wodami na obszarach dorzeczy.</w:t>
      </w:r>
    </w:p>
    <w:p w14:paraId="52A419A4" w14:textId="77777777" w:rsidR="006C155B" w:rsidRDefault="006C155B" w:rsidP="006C155B">
      <w:pPr>
        <w:pStyle w:val="nagwkiopz"/>
        <w:ind w:left="709"/>
      </w:pPr>
      <w:r>
        <w:t>PRZEDMIOT WYKONYWANYCH USŁUG</w:t>
      </w:r>
    </w:p>
    <w:p w14:paraId="7C78787C" w14:textId="3FA3E21A" w:rsidR="006C155B" w:rsidRDefault="006C155B" w:rsidP="006C155B">
      <w:r>
        <w:t xml:space="preserve">Przedmiotem pracy jest opracowanie projektów </w:t>
      </w:r>
      <w:r w:rsidR="00EE2097">
        <w:t xml:space="preserve">drugiej </w:t>
      </w:r>
      <w:r>
        <w:t>aktualizacji planów gospodarowania wodami</w:t>
      </w:r>
      <w:r w:rsidR="00EE2097">
        <w:t xml:space="preserve"> (II aPGW)</w:t>
      </w:r>
      <w:r>
        <w:t xml:space="preserve"> na następujących obszarach </w:t>
      </w:r>
      <w:r w:rsidR="0043328C">
        <w:t>dorzeczy</w:t>
      </w:r>
      <w:r>
        <w:t xml:space="preserve">: Wisły, Odry Dniestru, Dunaju, </w:t>
      </w:r>
      <w:proofErr w:type="spellStart"/>
      <w:r>
        <w:t>Banówki</w:t>
      </w:r>
      <w:proofErr w:type="spellEnd"/>
      <w:r>
        <w:t xml:space="preserve">, Łaby, Niemna, Pregoły, Świeżej, wraz z dokumentami towarzyszącymi, w tym metodykami. Poprzez dokumenty towarzyszące rozumie się wszystkie materiały niezbędne dla realizacji niniejszego zadania ale niebędące częścią  projektu rozporządzenia </w:t>
      </w:r>
      <w:r w:rsidR="00C34F04">
        <w:t>w sprawie</w:t>
      </w:r>
      <w:r>
        <w:t xml:space="preserve"> przyjęcia II aPGW.</w:t>
      </w:r>
      <w:r w:rsidR="00234E75">
        <w:t xml:space="preserve"> Praca realizowana będzie na zaktualizowanym podziale jednostek do planowania (tzw. „nowych” jednolitych częściach wód).</w:t>
      </w:r>
      <w:r w:rsidR="00E9407E">
        <w:t xml:space="preserve"> </w:t>
      </w:r>
      <w:r w:rsidR="006F0C30" w:rsidRPr="00F63627">
        <w:rPr>
          <w:rFonts w:eastAsia="Times New Roman" w:cs="Calibri"/>
          <w:color w:val="000000"/>
          <w:lang w:eastAsia="zh-CN"/>
        </w:rPr>
        <w:t>Zmian</w:t>
      </w:r>
      <w:r w:rsidR="006F0C30">
        <w:rPr>
          <w:rFonts w:eastAsia="Times New Roman" w:cs="Calibri"/>
          <w:color w:val="000000"/>
          <w:lang w:eastAsia="zh-CN"/>
        </w:rPr>
        <w:t>a</w:t>
      </w:r>
      <w:r w:rsidR="006F0C30" w:rsidRPr="00F63627">
        <w:rPr>
          <w:rFonts w:eastAsia="Times New Roman" w:cs="Calibri"/>
          <w:color w:val="000000"/>
          <w:lang w:eastAsia="zh-CN"/>
        </w:rPr>
        <w:t xml:space="preserve"> jednostek do planowania pomiędzy aPGW a II aPGW </w:t>
      </w:r>
      <w:r w:rsidR="006F0C30">
        <w:rPr>
          <w:rFonts w:eastAsia="Times New Roman" w:cs="Calibri"/>
          <w:color w:val="000000"/>
          <w:lang w:eastAsia="zh-CN"/>
        </w:rPr>
        <w:t xml:space="preserve">będzie </w:t>
      </w:r>
      <w:r w:rsidR="006F0C30" w:rsidRPr="00F63627">
        <w:rPr>
          <w:rFonts w:eastAsia="Times New Roman" w:cs="Calibri"/>
          <w:color w:val="000000"/>
          <w:lang w:eastAsia="zh-CN"/>
        </w:rPr>
        <w:t>wymagać</w:t>
      </w:r>
      <w:r w:rsidR="006F0C30">
        <w:rPr>
          <w:rFonts w:eastAsia="Times New Roman" w:cs="Calibri"/>
          <w:color w:val="000000"/>
          <w:lang w:eastAsia="zh-CN"/>
        </w:rPr>
        <w:t xml:space="preserve">, w przypadku zadań realizowanych w ramach niniejszego opisu przedmiotu zamówienia, dla których będzie to konieczne </w:t>
      </w:r>
      <w:r w:rsidR="006F0C30">
        <w:rPr>
          <w:rFonts w:eastAsia="Times New Roman" w:cs="Calibri"/>
          <w:color w:val="000000"/>
          <w:lang w:eastAsia="zh-CN"/>
        </w:rPr>
        <w:lastRenderedPageBreak/>
        <w:t>i</w:t>
      </w:r>
      <w:r w:rsidR="00C316CC">
        <w:rPr>
          <w:rFonts w:eastAsia="Times New Roman" w:cs="Calibri"/>
          <w:color w:val="000000"/>
          <w:lang w:eastAsia="zh-CN"/>
        </w:rPr>
        <w:t> </w:t>
      </w:r>
      <w:r w:rsidR="006F0C30">
        <w:rPr>
          <w:rFonts w:eastAsia="Times New Roman" w:cs="Calibri"/>
          <w:color w:val="000000"/>
          <w:lang w:eastAsia="zh-CN"/>
        </w:rPr>
        <w:t>uzasadnione,</w:t>
      </w:r>
      <w:r w:rsidR="006F0C30" w:rsidRPr="00F63627">
        <w:rPr>
          <w:rFonts w:eastAsia="Times New Roman" w:cs="Calibri"/>
          <w:color w:val="000000"/>
          <w:lang w:eastAsia="zh-CN"/>
        </w:rPr>
        <w:t xml:space="preserve"> </w:t>
      </w:r>
      <w:r w:rsidR="00E9407E" w:rsidRPr="00F63627">
        <w:rPr>
          <w:rFonts w:eastAsia="Times New Roman" w:cs="Calibri"/>
          <w:color w:val="000000"/>
          <w:lang w:eastAsia="zh-CN"/>
        </w:rPr>
        <w:t xml:space="preserve">prac polegających na przeniesieniu wyników zadań opracowanych z „starym” układem </w:t>
      </w:r>
      <w:r w:rsidR="002607F0">
        <w:rPr>
          <w:rFonts w:eastAsia="Times New Roman" w:cs="Calibri"/>
          <w:color w:val="000000"/>
          <w:lang w:eastAsia="zh-CN"/>
        </w:rPr>
        <w:t>jednolitych części wód (</w:t>
      </w:r>
      <w:proofErr w:type="spellStart"/>
      <w:r w:rsidR="00E9407E" w:rsidRPr="00F63627">
        <w:rPr>
          <w:rFonts w:eastAsia="Times New Roman" w:cs="Calibri"/>
          <w:color w:val="000000"/>
          <w:lang w:eastAsia="zh-CN"/>
        </w:rPr>
        <w:t>jcw</w:t>
      </w:r>
      <w:proofErr w:type="spellEnd"/>
      <w:r w:rsidR="002607F0">
        <w:rPr>
          <w:rFonts w:eastAsia="Times New Roman" w:cs="Calibri"/>
          <w:color w:val="000000"/>
          <w:lang w:eastAsia="zh-CN"/>
        </w:rPr>
        <w:t>)</w:t>
      </w:r>
      <w:r w:rsidR="00E9407E" w:rsidRPr="00F63627">
        <w:rPr>
          <w:rFonts w:eastAsia="Times New Roman" w:cs="Calibri"/>
          <w:color w:val="000000"/>
          <w:lang w:eastAsia="zh-CN"/>
        </w:rPr>
        <w:t xml:space="preserve"> na „nowy” układ </w:t>
      </w:r>
      <w:proofErr w:type="spellStart"/>
      <w:r w:rsidR="00E9407E" w:rsidRPr="00F63627">
        <w:rPr>
          <w:rFonts w:eastAsia="Times New Roman" w:cs="Calibri"/>
          <w:color w:val="000000"/>
          <w:lang w:eastAsia="zh-CN"/>
        </w:rPr>
        <w:t>jcw</w:t>
      </w:r>
      <w:proofErr w:type="spellEnd"/>
      <w:r w:rsidR="00E9407E" w:rsidRPr="00F63627">
        <w:rPr>
          <w:rFonts w:eastAsia="Times New Roman" w:cs="Calibri"/>
          <w:color w:val="000000"/>
          <w:lang w:eastAsia="zh-CN"/>
        </w:rPr>
        <w:t>. Prac</w:t>
      </w:r>
      <w:r w:rsidR="006F0C30">
        <w:rPr>
          <w:rFonts w:eastAsia="Times New Roman" w:cs="Calibri"/>
          <w:color w:val="000000"/>
          <w:lang w:eastAsia="zh-CN"/>
        </w:rPr>
        <w:t>e</w:t>
      </w:r>
      <w:r w:rsidR="00E9407E" w:rsidRPr="00F63627">
        <w:rPr>
          <w:rFonts w:eastAsia="Times New Roman" w:cs="Calibri"/>
          <w:color w:val="000000"/>
          <w:lang w:eastAsia="zh-CN"/>
        </w:rPr>
        <w:t xml:space="preserve"> te zostaną zrealizowane przez Wykonawcę</w:t>
      </w:r>
      <w:r w:rsidR="00D31BB0">
        <w:rPr>
          <w:rFonts w:eastAsia="Times New Roman" w:cs="Calibri"/>
          <w:color w:val="000000"/>
          <w:lang w:eastAsia="zh-CN"/>
        </w:rPr>
        <w:t>,</w:t>
      </w:r>
      <w:r w:rsidR="00C316CC">
        <w:rPr>
          <w:rFonts w:eastAsia="Times New Roman" w:cs="Calibri"/>
          <w:color w:val="000000"/>
          <w:lang w:eastAsia="zh-CN"/>
        </w:rPr>
        <w:t xml:space="preserve"> a </w:t>
      </w:r>
      <w:r w:rsidR="00E9407E" w:rsidRPr="00F63627">
        <w:rPr>
          <w:rFonts w:eastAsia="Times New Roman" w:cs="Calibri"/>
          <w:color w:val="000000"/>
          <w:lang w:eastAsia="zh-CN"/>
        </w:rPr>
        <w:t>potrzeba ich realizacji zostanie zidentyfikowana w ramach</w:t>
      </w:r>
      <w:r w:rsidR="00863FB7">
        <w:rPr>
          <w:rFonts w:eastAsia="Times New Roman" w:cs="Calibri"/>
          <w:color w:val="000000"/>
          <w:lang w:eastAsia="zh-CN"/>
        </w:rPr>
        <w:t xml:space="preserve"> </w:t>
      </w:r>
      <w:r w:rsidR="00E9407E" w:rsidRPr="00F63627">
        <w:rPr>
          <w:rFonts w:eastAsia="Times New Roman" w:cs="Calibri"/>
          <w:color w:val="000000"/>
          <w:lang w:eastAsia="zh-CN"/>
        </w:rPr>
        <w:t xml:space="preserve"> Etapu</w:t>
      </w:r>
      <w:r w:rsidR="00863FB7">
        <w:rPr>
          <w:rFonts w:eastAsia="Times New Roman" w:cs="Calibri"/>
          <w:color w:val="000000"/>
          <w:lang w:eastAsia="zh-CN"/>
        </w:rPr>
        <w:t xml:space="preserve"> I</w:t>
      </w:r>
      <w:r w:rsidR="00E9407E" w:rsidRPr="00F63627">
        <w:rPr>
          <w:rFonts w:eastAsia="Times New Roman" w:cs="Calibri"/>
          <w:color w:val="000000"/>
          <w:lang w:eastAsia="zh-CN"/>
        </w:rPr>
        <w:t>.</w:t>
      </w:r>
    </w:p>
    <w:p w14:paraId="34B32109" w14:textId="12D32B40" w:rsidR="006C155B" w:rsidRDefault="006F0C30" w:rsidP="006C155B">
      <w:r>
        <w:t xml:space="preserve">Przedmiotem pracy, do której wykonania zobowiązany będzie Wykonawca, będzie także realizacja zadań przewidzianych dla projektów II aPGW, wynikających z ustawy </w:t>
      </w:r>
      <w:r w:rsidRPr="00074EC0">
        <w:t>z dnia 3</w:t>
      </w:r>
      <w:r>
        <w:t xml:space="preserve"> </w:t>
      </w:r>
      <w:r w:rsidRPr="00074EC0">
        <w:t>października 2008</w:t>
      </w:r>
      <w:r>
        <w:t xml:space="preserve"> </w:t>
      </w:r>
      <w:r w:rsidRPr="00074EC0">
        <w:t>r.</w:t>
      </w:r>
      <w:r>
        <w:t xml:space="preserve"> </w:t>
      </w:r>
      <w:r w:rsidR="00C316CC">
        <w:t>o </w:t>
      </w:r>
      <w:r w:rsidRPr="00074EC0">
        <w:t>udostępnianiu informacji o</w:t>
      </w:r>
      <w:r>
        <w:t xml:space="preserve"> </w:t>
      </w:r>
      <w:r w:rsidRPr="00074EC0">
        <w:t>środowisku i</w:t>
      </w:r>
      <w:r>
        <w:t xml:space="preserve"> </w:t>
      </w:r>
      <w:r w:rsidRPr="00074EC0">
        <w:t>jego ochronie, udziale społeczeństwa w</w:t>
      </w:r>
      <w:r>
        <w:t xml:space="preserve"> </w:t>
      </w:r>
      <w:r w:rsidRPr="00074EC0">
        <w:t>ochronie środowiska oraz</w:t>
      </w:r>
      <w:r>
        <w:t xml:space="preserve"> </w:t>
      </w:r>
      <w:r w:rsidRPr="00074EC0">
        <w:t>o</w:t>
      </w:r>
      <w:r>
        <w:t xml:space="preserve"> </w:t>
      </w:r>
      <w:r w:rsidRPr="00074EC0">
        <w:t>ocenach oddziaływania na środowisko</w:t>
      </w:r>
      <w:r>
        <w:t xml:space="preserve"> (Dz. U. z 2018 r. poz. 2081, z 2019 r. poz. 630, z </w:t>
      </w:r>
      <w:proofErr w:type="spellStart"/>
      <w:r>
        <w:t>późn</w:t>
      </w:r>
      <w:proofErr w:type="spellEnd"/>
      <w:r>
        <w:t>. zm.), w tym w szczególności udział (wsparcie merytoryczn</w:t>
      </w:r>
      <w:r w:rsidR="00C316CC">
        <w:t>e świadczone przez Wykonawcę) w </w:t>
      </w:r>
      <w:r>
        <w:t xml:space="preserve">uzgodnieniu zakresu prognozy oceny oddziaływania na środowisko projektów II aPGW, </w:t>
      </w:r>
      <w:r w:rsidR="00EE2097">
        <w:t>przeprowadzenie</w:t>
      </w:r>
      <w:r w:rsidR="006C155B">
        <w:t xml:space="preserve"> procedury strategicznej oceny oddziaływania na środowisko, w tym sporządzenie prognoz oddziaływania </w:t>
      </w:r>
      <w:r w:rsidR="0043328C">
        <w:t xml:space="preserve">na środowisko </w:t>
      </w:r>
      <w:r w:rsidR="006C155B">
        <w:t>poszczególnych projektów II aPGW</w:t>
      </w:r>
      <w:r w:rsidR="009321D3">
        <w:t>, a także wspó</w:t>
      </w:r>
      <w:r w:rsidR="00C316CC">
        <w:t>łudział w </w:t>
      </w:r>
      <w:r w:rsidR="009321D3">
        <w:t>realizacji zadań związanych z odpowiedziami na opinie i umożl</w:t>
      </w:r>
      <w:r w:rsidR="00C316CC">
        <w:t>iwienie udziału społeczeństwa w </w:t>
      </w:r>
      <w:r w:rsidR="009321D3">
        <w:t>opracowaniu ww. dokumentów</w:t>
      </w:r>
      <w:r w:rsidR="006C155B">
        <w:t xml:space="preserve"> oraz współudział w półrocznych konsultacjach społecznych</w:t>
      </w:r>
      <w:r w:rsidR="008B27C7">
        <w:t xml:space="preserve"> projektów II aPGW, zgodnie z wymaganiami art. 14 RDW</w:t>
      </w:r>
      <w:r w:rsidR="006C155B">
        <w:t>.</w:t>
      </w:r>
    </w:p>
    <w:p w14:paraId="57073700" w14:textId="65207583" w:rsidR="006C155B" w:rsidRDefault="006C155B" w:rsidP="006C155B">
      <w:r>
        <w:t xml:space="preserve">Ponadto zgodnie z wymaganiami RDW w terminie do 22 marca 2022 r. Polska jest zobowiązana do przedłożenia Komisji Europejskiej </w:t>
      </w:r>
      <w:r w:rsidR="00EE2097">
        <w:t xml:space="preserve">(KE) </w:t>
      </w:r>
      <w:r>
        <w:t>raportu z II aktualizacji PGW. Wobec tego opracowane w ramach zamówienia II aPGW, będą również stanowiły podstawę do sporządzenia przez Wykonawcę raportu dla Komisji Europejskiej</w:t>
      </w:r>
      <w:r w:rsidR="009321D3">
        <w:t>, zgodnie z wytycznymi KE, które w trakcie realizacji zamówienia mogą ulegać modyfikacjom wprowadzanym przez KE</w:t>
      </w:r>
      <w:r>
        <w:t>.</w:t>
      </w:r>
    </w:p>
    <w:p w14:paraId="4AD5E7F2" w14:textId="3EDC042A" w:rsidR="006C155B" w:rsidRDefault="006C155B" w:rsidP="006C155B">
      <w:r>
        <w:t xml:space="preserve">Realizacja ww. zadań odbędzie się zgodnie z wymaganiami prawa unijnego, w tym głównie Ramowej Dyrektywy Wodnej, ustawy Prawo wodne, oraz jej aktów wykonawczych, </w:t>
      </w:r>
      <w:r w:rsidR="00C316CC">
        <w:t>z uwzględnieniem zaleceń i </w:t>
      </w:r>
      <w:r w:rsidR="008B27C7">
        <w:t xml:space="preserve">wytycznych </w:t>
      </w:r>
      <w:r>
        <w:t xml:space="preserve">Komisji Europejskiej w tym zakresie, jak również w oparciu o powstałe w trakcie trzeciego cyklu planistycznego </w:t>
      </w:r>
      <w:r w:rsidR="009321D3">
        <w:t xml:space="preserve">(a gdzie stosowne – również starsze) </w:t>
      </w:r>
      <w:r>
        <w:t>metodyki</w:t>
      </w:r>
      <w:r w:rsidR="009321D3">
        <w:t xml:space="preserve">, </w:t>
      </w:r>
      <w:r>
        <w:t>opracowania</w:t>
      </w:r>
      <w:r w:rsidR="009321D3">
        <w:t xml:space="preserve">, </w:t>
      </w:r>
      <w:r>
        <w:t xml:space="preserve">dokumenty oraz doświadczenia zebrane w trakcie wdrażania RDW w Polsce </w:t>
      </w:r>
      <w:r w:rsidR="009321D3">
        <w:t>(w I, II i III cyklu planistycznym).</w:t>
      </w:r>
    </w:p>
    <w:p w14:paraId="0B300CCE" w14:textId="77777777" w:rsidR="006C155B" w:rsidRDefault="006C155B" w:rsidP="006C155B">
      <w:pPr>
        <w:pStyle w:val="nagwkiopz"/>
        <w:ind w:left="709"/>
      </w:pPr>
      <w:r>
        <w:t>ZAKRES WYKONYWANYCH USŁUG</w:t>
      </w:r>
    </w:p>
    <w:p w14:paraId="4D67DECD" w14:textId="77777777" w:rsidR="006C155B" w:rsidRPr="00B95C1E" w:rsidRDefault="006C155B" w:rsidP="006C155B">
      <w:pPr>
        <w:spacing w:after="40"/>
      </w:pPr>
      <w:r w:rsidRPr="00B95C1E">
        <w:t>Planowane zamówienie zrealizowane zostanie przez Wykonawcę wyłonionego w drodze przetargu nieograniczonego zgodnie z art. 39 ustawy z dnia 29 stycznia 2004 r. – Prawo</w:t>
      </w:r>
      <w:r>
        <w:t xml:space="preserve"> </w:t>
      </w:r>
      <w:r w:rsidRPr="00B95C1E">
        <w:t>zamówień publicznych (Dz. U. z 2018 r. poz. 1986 ze zm.).</w:t>
      </w:r>
    </w:p>
    <w:p w14:paraId="24DB3F82" w14:textId="77777777" w:rsidR="006C155B" w:rsidRPr="00AE69F2" w:rsidRDefault="006C155B" w:rsidP="006C155B">
      <w:pPr>
        <w:spacing w:after="40"/>
        <w:rPr>
          <w:u w:val="single"/>
        </w:rPr>
      </w:pPr>
      <w:r w:rsidRPr="00AE69F2">
        <w:rPr>
          <w:u w:val="single"/>
        </w:rPr>
        <w:t>Przedmiotowa praca składać się będzie z następujących etapów:</w:t>
      </w:r>
    </w:p>
    <w:p w14:paraId="0A201A53" w14:textId="44816654" w:rsidR="006C155B" w:rsidRPr="00AE69F2" w:rsidRDefault="006C155B" w:rsidP="006C155B">
      <w:pPr>
        <w:spacing w:after="40"/>
      </w:pPr>
      <w:r w:rsidRPr="00AE69F2">
        <w:rPr>
          <w:b/>
        </w:rPr>
        <w:t>Etap I:</w:t>
      </w:r>
      <w:r w:rsidRPr="00AE69F2">
        <w:t xml:space="preserve"> Opracowanie projektów II aPGW wraz z metodykami</w:t>
      </w:r>
    </w:p>
    <w:p w14:paraId="0C9E8932" w14:textId="77777777" w:rsidR="006C155B" w:rsidRPr="00AE69F2" w:rsidRDefault="006C155B" w:rsidP="006C155B">
      <w:pPr>
        <w:spacing w:after="40"/>
      </w:pPr>
      <w:r w:rsidRPr="00AE69F2">
        <w:rPr>
          <w:b/>
        </w:rPr>
        <w:t>Etap II:</w:t>
      </w:r>
      <w:r w:rsidRPr="00AE69F2">
        <w:t xml:space="preserve"> </w:t>
      </w:r>
      <w:r w:rsidR="00AE69F2" w:rsidRPr="00AE69F2">
        <w:t>Konsultacje społeczne projektów II aPGW oraz przeprowadzenie strategicznej oceny oddziaływania na środowisko</w:t>
      </w:r>
    </w:p>
    <w:p w14:paraId="3901E8A1" w14:textId="573EBF50" w:rsidR="006C155B" w:rsidRPr="006C155B" w:rsidRDefault="006C155B" w:rsidP="006C155B">
      <w:pPr>
        <w:spacing w:after="40"/>
        <w:rPr>
          <w:highlight w:val="yellow"/>
        </w:rPr>
      </w:pPr>
      <w:r w:rsidRPr="00AE69F2">
        <w:rPr>
          <w:b/>
        </w:rPr>
        <w:t>Etap III:</w:t>
      </w:r>
      <w:r w:rsidRPr="00AE69F2">
        <w:t xml:space="preserve"> </w:t>
      </w:r>
      <w:r w:rsidR="009321D3">
        <w:t>Projekty rozporządzeń</w:t>
      </w:r>
      <w:r w:rsidR="00AE69F2" w:rsidRPr="00AE69F2">
        <w:t xml:space="preserve"> w sprawie II aPGW</w:t>
      </w:r>
    </w:p>
    <w:p w14:paraId="19463B70" w14:textId="77777777" w:rsidR="006C155B" w:rsidRDefault="006C155B" w:rsidP="006C155B">
      <w:pPr>
        <w:spacing w:after="40"/>
      </w:pPr>
      <w:r w:rsidRPr="00AE69F2">
        <w:rPr>
          <w:b/>
        </w:rPr>
        <w:t>Etap IV:</w:t>
      </w:r>
      <w:r w:rsidRPr="00AE69F2">
        <w:t xml:space="preserve"> </w:t>
      </w:r>
      <w:r w:rsidR="00AE69F2" w:rsidRPr="00AE69F2">
        <w:t>Raport do KE oraz sporządzenie baz danych z II aPGW</w:t>
      </w:r>
    </w:p>
    <w:p w14:paraId="3662EE16" w14:textId="77777777" w:rsidR="006C155B" w:rsidRDefault="006C155B" w:rsidP="006C155B">
      <w:pPr>
        <w:spacing w:after="40"/>
      </w:pPr>
    </w:p>
    <w:p w14:paraId="6E74E13D" w14:textId="77777777" w:rsidR="00C20D52" w:rsidRDefault="00C20D52" w:rsidP="006C155B">
      <w:pPr>
        <w:spacing w:after="40"/>
      </w:pPr>
    </w:p>
    <w:p w14:paraId="0C5496E4" w14:textId="77777777" w:rsidR="006C155B" w:rsidRPr="00A1421F" w:rsidRDefault="006C155B" w:rsidP="006C155B">
      <w:pPr>
        <w:tabs>
          <w:tab w:val="num" w:pos="426"/>
        </w:tabs>
        <w:spacing w:after="120"/>
        <w:ind w:left="426" w:hanging="474"/>
        <w:rPr>
          <w:rFonts w:cs="Calibri"/>
          <w:b/>
          <w:color w:val="000000"/>
        </w:rPr>
      </w:pPr>
      <w:bookmarkStart w:id="1" w:name="_Hlk14094927"/>
      <w:r w:rsidRPr="00A1421F">
        <w:rPr>
          <w:rFonts w:cs="Calibri"/>
          <w:b/>
          <w:color w:val="000000"/>
        </w:rPr>
        <w:lastRenderedPageBreak/>
        <w:t>Etap I: Opracowanie projektów II aPGW wraz z metodykami</w:t>
      </w:r>
    </w:p>
    <w:p w14:paraId="242D5497" w14:textId="77777777" w:rsidR="006C155B" w:rsidRDefault="006C155B" w:rsidP="006C155B">
      <w:pPr>
        <w:tabs>
          <w:tab w:val="num" w:pos="900"/>
        </w:tabs>
        <w:spacing w:after="120"/>
        <w:rPr>
          <w:rFonts w:cs="Calibri"/>
          <w:color w:val="000000"/>
        </w:rPr>
      </w:pPr>
      <w:r>
        <w:rPr>
          <w:rFonts w:cs="Calibri"/>
          <w:color w:val="000000"/>
        </w:rPr>
        <w:t>W ramach etapu I Wykonawca zrealizuje następujące zadania:</w:t>
      </w:r>
    </w:p>
    <w:p w14:paraId="63C2B463" w14:textId="6F2C3374" w:rsidR="006C155B" w:rsidRDefault="006C155B" w:rsidP="00AE199E">
      <w:pPr>
        <w:pStyle w:val="Styl1punkty"/>
        <w:ind w:left="318" w:hanging="318"/>
      </w:pPr>
      <w:bookmarkStart w:id="2" w:name="_Hlk14096512"/>
      <w:bookmarkEnd w:id="1"/>
      <w:r w:rsidRPr="003F5459">
        <w:t xml:space="preserve">Szczegółowo przeanalizuje wszystkie </w:t>
      </w:r>
      <w:r w:rsidR="0074709B" w:rsidRPr="003F5459">
        <w:t>dokument</w:t>
      </w:r>
      <w:r w:rsidR="0074709B">
        <w:t xml:space="preserve">acje i materiały </w:t>
      </w:r>
      <w:r w:rsidRPr="003F5459">
        <w:t xml:space="preserve">planistyczne opracowane w trakcie trzeciego cyklu planistycznego </w:t>
      </w:r>
      <w:r w:rsidR="009321D3">
        <w:t xml:space="preserve">(2016-2021) </w:t>
      </w:r>
      <w:r w:rsidRPr="003F5459">
        <w:t xml:space="preserve">stanowiące podstawę do opracowania II </w:t>
      </w:r>
      <w:proofErr w:type="spellStart"/>
      <w:r w:rsidRPr="003F5459">
        <w:t>aPGW</w:t>
      </w:r>
      <w:proofErr w:type="spellEnd"/>
      <w:r w:rsidR="00173CC5">
        <w:t xml:space="preserve"> (zwane dalej „dokumentacje źródłowe”) </w:t>
      </w:r>
      <w:r w:rsidRPr="003F5459">
        <w:t xml:space="preserve"> oraz uwagi i rekomendacje Komisji Europejskiej </w:t>
      </w:r>
      <w:r w:rsidR="008B27C7">
        <w:t>dotyczące</w:t>
      </w:r>
      <w:r w:rsidRPr="003F5459">
        <w:t xml:space="preserve"> aPGW przyjętych rozporządzeniami Rady Ministrów w 2016 r. W wyniku ww. analizy Wykonawca przedstawi sposób uwzględnienia ww. uwag i rekomendacji przy opracowaniu projektów II aPGW oraz dokumentów towarzyszących II </w:t>
      </w:r>
      <w:proofErr w:type="spellStart"/>
      <w:r w:rsidRPr="003F5459">
        <w:t>aPGW</w:t>
      </w:r>
      <w:proofErr w:type="spellEnd"/>
      <w:r w:rsidRPr="003F5459">
        <w:t>.</w:t>
      </w:r>
      <w:bookmarkStart w:id="3" w:name="_Hlk14096532"/>
      <w:r>
        <w:t xml:space="preserve"> </w:t>
      </w:r>
    </w:p>
    <w:p w14:paraId="0333DFBB" w14:textId="4BD1499F" w:rsidR="008B19ED" w:rsidRDefault="006C155B" w:rsidP="006C155B">
      <w:pPr>
        <w:pStyle w:val="Styl1punkty"/>
        <w:ind w:left="320"/>
      </w:pPr>
      <w:bookmarkStart w:id="4" w:name="_Hlk14095095"/>
      <w:bookmarkEnd w:id="3"/>
      <w:r w:rsidRPr="00EA2216">
        <w:t xml:space="preserve">Sporządzi metodykę opracowania projektów II aPGW. Metodyka odnosić się będzie szczegółowo do każdego punktu i </w:t>
      </w:r>
      <w:r w:rsidR="00C92D3B" w:rsidRPr="009321D3">
        <w:t>litery</w:t>
      </w:r>
      <w:r w:rsidRPr="00EA2216">
        <w:t xml:space="preserve"> wskazanego w art. 318 ust. 1 ustawy </w:t>
      </w:r>
      <w:r w:rsidR="00C34F04">
        <w:t xml:space="preserve">z dnia 20 lipca 2017 r. </w:t>
      </w:r>
      <w:r w:rsidRPr="00EA2216">
        <w:t>Prawo wodne</w:t>
      </w:r>
      <w:r>
        <w:t xml:space="preserve"> oraz </w:t>
      </w:r>
      <w:r w:rsidR="00B109C0">
        <w:t xml:space="preserve">wymogów rozporządzenia </w:t>
      </w:r>
      <w:r>
        <w:t xml:space="preserve">Rady Ministrów w sprawie </w:t>
      </w:r>
      <w:r w:rsidRPr="00F5794B">
        <w:t>szczegółowego zakresu opracowywania planów gospodarowania wodami na obszarach dorzeczy</w:t>
      </w:r>
      <w:r w:rsidRPr="00EA2216">
        <w:t>, wskazując m.in. na koncepcję podejścia do ich opracowania, źród</w:t>
      </w:r>
      <w:r w:rsidR="0043328C">
        <w:t>ło</w:t>
      </w:r>
      <w:r w:rsidRPr="00EA2216">
        <w:t xml:space="preserve"> danych, spos</w:t>
      </w:r>
      <w:r w:rsidR="0043328C">
        <w:t>ób</w:t>
      </w:r>
      <w:r w:rsidRPr="00EA2216">
        <w:t xml:space="preserve"> przedstawienia informacji w projektach II aPGW</w:t>
      </w:r>
      <w:r>
        <w:t xml:space="preserve">. </w:t>
      </w:r>
    </w:p>
    <w:p w14:paraId="718F99A1" w14:textId="147C88C9" w:rsidR="006C155B" w:rsidRPr="006C155B" w:rsidRDefault="006C155B" w:rsidP="006C155B">
      <w:pPr>
        <w:pStyle w:val="Styl1punkty"/>
        <w:ind w:left="320"/>
        <w:rPr>
          <w:rFonts w:cs="Calibri"/>
          <w:color w:val="000000"/>
          <w:u w:val="single"/>
        </w:rPr>
      </w:pPr>
      <w:bookmarkStart w:id="5" w:name="_Hlk14095106"/>
      <w:bookmarkEnd w:id="4"/>
      <w:r w:rsidRPr="00EA2216">
        <w:t>P</w:t>
      </w:r>
      <w:r w:rsidR="00AE199E">
        <w:t>onadto metodyka zawierać będzie</w:t>
      </w:r>
      <w:r w:rsidR="00173CC5">
        <w:t>:</w:t>
      </w:r>
      <w:r w:rsidR="00AE199E">
        <w:t xml:space="preserve"> </w:t>
      </w:r>
    </w:p>
    <w:p w14:paraId="625A6E0E" w14:textId="4CF0EC5A" w:rsidR="0043328C" w:rsidRDefault="0043328C" w:rsidP="006C155B">
      <w:pPr>
        <w:pStyle w:val="podpunkty"/>
      </w:pPr>
      <w:bookmarkStart w:id="6" w:name="_Hlk14095347"/>
      <w:r>
        <w:t>Sposób przedstawienia postępu w osiąganiu przez</w:t>
      </w:r>
      <w:r w:rsidR="0020630B">
        <w:t xml:space="preserve"> </w:t>
      </w:r>
      <w:r w:rsidR="0020630B" w:rsidRPr="00C92D3B">
        <w:t>jednolit</w:t>
      </w:r>
      <w:r w:rsidR="0020630B">
        <w:t>e części wód powierzchniowych</w:t>
      </w:r>
      <w:r>
        <w:t xml:space="preserve"> celów środowiskowych w latach 2011-2018. W metodyce uwzględnić należy legislacyjne zmiany kryteriów prowadzenia oceny stanu wód oraz genezę i uwarunkowania tychże zmian.</w:t>
      </w:r>
    </w:p>
    <w:p w14:paraId="5FA6F21A" w14:textId="1F2E572F" w:rsidR="006C155B" w:rsidRDefault="006C155B" w:rsidP="00C92D3B">
      <w:pPr>
        <w:pStyle w:val="podpunkty"/>
      </w:pPr>
      <w:r w:rsidRPr="00B11CDD">
        <w:t xml:space="preserve">Koncepcję identyfikacji odstępstw </w:t>
      </w:r>
      <w:bookmarkStart w:id="7" w:name="_Hlk14095448"/>
      <w:r w:rsidRPr="00B11CDD">
        <w:t xml:space="preserve">od osiągania celów środowiskowych wraz z uzasadnieniem. Wykonawca przeanalizuje wszystkie </w:t>
      </w:r>
      <w:r w:rsidR="00C92D3B" w:rsidRPr="00C92D3B">
        <w:t>jednolit</w:t>
      </w:r>
      <w:r w:rsidR="00C92D3B">
        <w:t>e części wód powierzchniowych (</w:t>
      </w:r>
      <w:proofErr w:type="spellStart"/>
      <w:r w:rsidR="00FB4673">
        <w:t>jcwp</w:t>
      </w:r>
      <w:proofErr w:type="spellEnd"/>
      <w:r w:rsidR="00C92D3B" w:rsidRPr="00C92D3B">
        <w:t>) i jednolite części wód podziemnych</w:t>
      </w:r>
      <w:r w:rsidR="00C92D3B">
        <w:t xml:space="preserve"> (</w:t>
      </w:r>
      <w:proofErr w:type="spellStart"/>
      <w:r w:rsidR="00C92D3B">
        <w:t>JCWPd</w:t>
      </w:r>
      <w:proofErr w:type="spellEnd"/>
      <w:r w:rsidR="00C92D3B">
        <w:t>)</w:t>
      </w:r>
      <w:r w:rsidRPr="00B11CDD">
        <w:t xml:space="preserve">, pod kątem określenia dla nich właściwych </w:t>
      </w:r>
      <w:r w:rsidR="00BA6977">
        <w:t>odstępstw</w:t>
      </w:r>
      <w:r w:rsidR="006B1DBD">
        <w:t>, o </w:t>
      </w:r>
      <w:r w:rsidRPr="00B11CDD">
        <w:t xml:space="preserve">których mowa w </w:t>
      </w:r>
      <w:r w:rsidRPr="00C34F04">
        <w:t>art. 4 ust. 4 RDW</w:t>
      </w:r>
      <w:r w:rsidRPr="00B11CDD">
        <w:t xml:space="preserve">, </w:t>
      </w:r>
      <w:r w:rsidR="00BA6977">
        <w:t xml:space="preserve">art. </w:t>
      </w:r>
      <w:r w:rsidRPr="00B11CDD">
        <w:t>4 ust. 5 RDW,</w:t>
      </w:r>
      <w:r w:rsidR="00BA6977">
        <w:t xml:space="preserve"> art. </w:t>
      </w:r>
      <w:r w:rsidRPr="00B11CDD">
        <w:t xml:space="preserve">4 ust. 6 RDW, </w:t>
      </w:r>
    </w:p>
    <w:p w14:paraId="3B2F7441" w14:textId="39D8AC8D" w:rsidR="006C155B" w:rsidRDefault="006C155B" w:rsidP="00AE199E">
      <w:pPr>
        <w:pStyle w:val="podpunkty"/>
      </w:pPr>
      <w:bookmarkStart w:id="8" w:name="_Hlk14095831"/>
      <w:bookmarkStart w:id="9" w:name="_Hlk14095785"/>
      <w:r>
        <w:t xml:space="preserve">podejście do weryfikacji przypadków </w:t>
      </w:r>
      <w:proofErr w:type="spellStart"/>
      <w:r>
        <w:t>jcw</w:t>
      </w:r>
      <w:proofErr w:type="spellEnd"/>
      <w:r w:rsidR="0020630B">
        <w:t xml:space="preserve"> </w:t>
      </w:r>
      <w:r w:rsidR="008B27C7">
        <w:t>zakwalifikowanych</w:t>
      </w:r>
      <w:r>
        <w:t xml:space="preserve">/wytypowanych </w:t>
      </w:r>
      <w:r w:rsidRPr="00C37B4C">
        <w:t xml:space="preserve">do </w:t>
      </w:r>
      <w:r>
        <w:t xml:space="preserve">odstępstw </w:t>
      </w:r>
      <w:r w:rsidRPr="00C37B4C">
        <w:t>przedstawione w dokumentacjach źródłowych.</w:t>
      </w:r>
    </w:p>
    <w:bookmarkEnd w:id="8"/>
    <w:bookmarkEnd w:id="9"/>
    <w:bookmarkEnd w:id="6"/>
    <w:bookmarkEnd w:id="7"/>
    <w:p w14:paraId="2AC7DD7C" w14:textId="1AC4C820" w:rsidR="00985BA8" w:rsidRPr="005313F5" w:rsidRDefault="00985BA8" w:rsidP="00985BA8">
      <w:pPr>
        <w:pStyle w:val="Styl1punkty"/>
        <w:ind w:left="320"/>
        <w:rPr>
          <w:rFonts w:cs="Calibri"/>
          <w:color w:val="000000"/>
        </w:rPr>
      </w:pPr>
      <w:r w:rsidRPr="00BA58F2">
        <w:rPr>
          <w:rFonts w:cs="Calibri"/>
          <w:color w:val="000000"/>
        </w:rPr>
        <w:t xml:space="preserve">Sporządzi wykaz inwestycji, o którym mowa w art. 323 ustawy Prawo wodne. </w:t>
      </w:r>
      <w:r w:rsidR="00C20D52">
        <w:t>W związku z </w:t>
      </w:r>
      <w:r w:rsidRPr="00BA58F2">
        <w:t>powyższym Wykonawca:</w:t>
      </w:r>
    </w:p>
    <w:p w14:paraId="7B1CB98E" w14:textId="77777777" w:rsidR="00C20D52" w:rsidRPr="000B4612" w:rsidRDefault="00C20D52" w:rsidP="00C20D52">
      <w:pPr>
        <w:pStyle w:val="podpunkty"/>
        <w:numPr>
          <w:ilvl w:val="0"/>
          <w:numId w:val="24"/>
        </w:numPr>
      </w:pPr>
      <w:r w:rsidRPr="000B4612">
        <w:t xml:space="preserve">pozyska informacje od inwestorów wszystkich inwestycji zawartych w </w:t>
      </w:r>
      <w:proofErr w:type="spellStart"/>
      <w:r w:rsidRPr="000B4612">
        <w:t>aPGW</w:t>
      </w:r>
      <w:proofErr w:type="spellEnd"/>
      <w:r w:rsidRPr="000B4612">
        <w:t xml:space="preserve"> z 2016 r. dotyczące ich stanu realizacji,  a jeżeli dana inwestycja nie została zrealizowana:</w:t>
      </w:r>
    </w:p>
    <w:p w14:paraId="18077D64" w14:textId="77777777" w:rsidR="00C20D52" w:rsidRPr="00BA58F2" w:rsidRDefault="00C20D52" w:rsidP="00C20D52">
      <w:pPr>
        <w:pStyle w:val="podpunkty"/>
        <w:numPr>
          <w:ilvl w:val="0"/>
          <w:numId w:val="17"/>
        </w:numPr>
        <w:spacing w:after="0"/>
      </w:pPr>
      <w:r w:rsidRPr="00BA58F2">
        <w:t>dalszych zamierzeń inwestora (czy inwestycja  jest nadal planowana do realizacji);</w:t>
      </w:r>
    </w:p>
    <w:p w14:paraId="72622218" w14:textId="77777777" w:rsidR="00C20D52" w:rsidRPr="00BA58F2" w:rsidRDefault="00C20D52" w:rsidP="00C20D52">
      <w:pPr>
        <w:pStyle w:val="podpunkty"/>
        <w:numPr>
          <w:ilvl w:val="0"/>
          <w:numId w:val="17"/>
        </w:numPr>
        <w:spacing w:after="0"/>
      </w:pPr>
      <w:r w:rsidRPr="00BA58F2">
        <w:t>zakresu</w:t>
      </w:r>
      <w:r>
        <w:t xml:space="preserve"> </w:t>
      </w:r>
      <w:r w:rsidRPr="00BA58F2">
        <w:t xml:space="preserve">inwestycji ulegającego zmianie w stosunku do </w:t>
      </w:r>
      <w:proofErr w:type="spellStart"/>
      <w:r w:rsidRPr="00BA58F2">
        <w:t>aPGW</w:t>
      </w:r>
      <w:proofErr w:type="spellEnd"/>
      <w:r w:rsidRPr="00BA58F2">
        <w:t xml:space="preserve"> i wymagającego aktualizacji – jeżeli dotyczy.</w:t>
      </w:r>
    </w:p>
    <w:p w14:paraId="39C2D879" w14:textId="0C7A8D1D" w:rsidR="00C20D52" w:rsidRPr="00BA58F2" w:rsidRDefault="00C20D52" w:rsidP="00C20D52">
      <w:pPr>
        <w:pStyle w:val="podpunkty"/>
        <w:numPr>
          <w:ilvl w:val="0"/>
          <w:numId w:val="0"/>
        </w:numPr>
        <w:spacing w:after="0"/>
        <w:ind w:left="709"/>
      </w:pPr>
      <w:r w:rsidRPr="00BA58F2">
        <w:t>Wykonawca analizuje charakter tych zmian (np.: czy zmiany</w:t>
      </w:r>
      <w:r>
        <w:t xml:space="preserve"> mają charakter formalny, czy w </w:t>
      </w:r>
      <w:bookmarkStart w:id="10" w:name="_GoBack"/>
      <w:bookmarkEnd w:id="10"/>
      <w:r w:rsidRPr="00BA58F2">
        <w:t>istotny sposób zmienił się zakres inwestycji, etc.). Forma pozyskania informacji od inwestorów zostanie zaproponowana przez Wykonawcę i będzie podlegać akceptacji Zamawiającego.</w:t>
      </w:r>
    </w:p>
    <w:p w14:paraId="02F76736" w14:textId="77777777" w:rsidR="00C20D52" w:rsidRPr="000B4612" w:rsidRDefault="00C20D52" w:rsidP="00C20D52">
      <w:pPr>
        <w:pStyle w:val="podpunkty"/>
        <w:numPr>
          <w:ilvl w:val="0"/>
          <w:numId w:val="24"/>
        </w:numPr>
      </w:pPr>
      <w:r w:rsidRPr="000B4612">
        <w:t xml:space="preserve">na podstawie informacji od organów właściwych </w:t>
      </w:r>
      <w:proofErr w:type="spellStart"/>
      <w:r w:rsidRPr="000B4612">
        <w:t>ws</w:t>
      </w:r>
      <w:proofErr w:type="spellEnd"/>
      <w:r w:rsidRPr="000B4612">
        <w:t xml:space="preserve">. wydania ocen wodnoprawnych, Wykonawca zidentyfikuje inwestycje, dla których stwierdzono oddziaływanie na cele </w:t>
      </w:r>
      <w:r w:rsidRPr="000B4612">
        <w:lastRenderedPageBreak/>
        <w:t>środowiskowe w ramach postępowań</w:t>
      </w:r>
      <w:r>
        <w:t xml:space="preserve"> </w:t>
      </w:r>
      <w:proofErr w:type="spellStart"/>
      <w:r>
        <w:t>ws</w:t>
      </w:r>
      <w:proofErr w:type="spellEnd"/>
      <w:r>
        <w:t>. wydania decyzji o </w:t>
      </w:r>
      <w:r w:rsidRPr="000B4612">
        <w:t>środowiskowych uwarunkowaniach. Na podstawie ww. prac pozyska</w:t>
      </w:r>
      <w:r>
        <w:t>,</w:t>
      </w:r>
      <w:r w:rsidRPr="000B4612">
        <w:t xml:space="preserve"> od organów prowadzących postępowanie </w:t>
      </w:r>
      <w:proofErr w:type="spellStart"/>
      <w:r w:rsidRPr="000B4612">
        <w:t>ws</w:t>
      </w:r>
      <w:proofErr w:type="spellEnd"/>
      <w:r w:rsidRPr="000B4612">
        <w:t xml:space="preserve">. wydania decyzji o środowiskowych </w:t>
      </w:r>
      <w:r>
        <w:t xml:space="preserve">uwarunkowaniach, </w:t>
      </w:r>
      <w:r w:rsidRPr="000B4612">
        <w:t>informacje dotyczące inwestycji, dla których wydano decyzje środowiskowe przy zastosowaniu art. 68 ustawy Prawo wodne.</w:t>
      </w:r>
    </w:p>
    <w:p w14:paraId="683F4081" w14:textId="77777777" w:rsidR="00C20D52" w:rsidRPr="000B4612" w:rsidRDefault="00C20D52" w:rsidP="00C20D52">
      <w:pPr>
        <w:pStyle w:val="podpunkty"/>
        <w:numPr>
          <w:ilvl w:val="0"/>
          <w:numId w:val="24"/>
        </w:numPr>
      </w:pPr>
      <w:r w:rsidRPr="000B4612">
        <w:t xml:space="preserve">pozyska od organów wydających oceny wodnoprawne wykaz planowanych inwestycji lub działań mogących wpłynąć na możliwość osiągnięcia celów środowiskowych, o którym mowa w art. 435 ustawy Prawo wodne. </w:t>
      </w:r>
    </w:p>
    <w:p w14:paraId="5D9A966A" w14:textId="77777777" w:rsidR="00C20D52" w:rsidRPr="000B4612" w:rsidRDefault="00C20D52" w:rsidP="00C20D52">
      <w:pPr>
        <w:pStyle w:val="podpunkty"/>
        <w:numPr>
          <w:ilvl w:val="0"/>
          <w:numId w:val="24"/>
        </w:numPr>
      </w:pPr>
      <w:r>
        <w:t>p</w:t>
      </w:r>
      <w:r w:rsidRPr="000B4612">
        <w:t xml:space="preserve">ozyska informacje związane z dokumentami potwierdzającymi zgodność inwestycji lub działań z celami środowiskowymi sporządzonych dla projektów, których całkowite koszty kwalifikowalne przekraczają kwoty wskazane w art. 100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B4612">
        <w:t>późn</w:t>
      </w:r>
      <w:proofErr w:type="spellEnd"/>
      <w:r w:rsidRPr="000B4612">
        <w:t xml:space="preserve">. zm.). </w:t>
      </w:r>
    </w:p>
    <w:p w14:paraId="0E895387" w14:textId="77777777" w:rsidR="00C20D52" w:rsidRDefault="00C20D52" w:rsidP="00C20D52">
      <w:pPr>
        <w:pStyle w:val="podpunkty"/>
        <w:numPr>
          <w:ilvl w:val="0"/>
          <w:numId w:val="24"/>
        </w:numPr>
      </w:pPr>
      <w:r w:rsidRPr="000B4612">
        <w:t>opracuje edytowalny wzór wykaz</w:t>
      </w:r>
      <w:r>
        <w:t>u</w:t>
      </w:r>
      <w:r w:rsidRPr="000B4612">
        <w:t xml:space="preserve"> inwestycji oraz działań, które mogą spowodować nieosiągnięcie dobrego stanu wód lub pogorszenie dobrego stanu wód.</w:t>
      </w:r>
      <w:r>
        <w:t xml:space="preserve"> Zakres oraz układ wykazu </w:t>
      </w:r>
      <w:r w:rsidRPr="00BA58F2">
        <w:t>zostan</w:t>
      </w:r>
      <w:r>
        <w:t>ą</w:t>
      </w:r>
      <w:r w:rsidRPr="00BA58F2">
        <w:t xml:space="preserve"> zaproponowan</w:t>
      </w:r>
      <w:r>
        <w:t>e</w:t>
      </w:r>
      <w:r w:rsidRPr="00BA58F2">
        <w:t xml:space="preserve"> przez Wykonawcę i będzie podlegać akceptacji Zamawiającego.</w:t>
      </w:r>
    </w:p>
    <w:p w14:paraId="45560E8D" w14:textId="77777777" w:rsidR="00C20D52" w:rsidRPr="000B4612" w:rsidRDefault="00C20D52" w:rsidP="00C20D52">
      <w:pPr>
        <w:pStyle w:val="podpunkty"/>
        <w:numPr>
          <w:ilvl w:val="0"/>
          <w:numId w:val="24"/>
        </w:numPr>
      </w:pPr>
      <w:r w:rsidRPr="000B4612">
        <w:t>opracuje jednolity w skali kraju wykaz inwestycji oraz działań, które mogą spowodować nieosiągnięcie dobrego stanu wód lub pogorszenie dobrego stanu wód, spełniających warunki, o których mowa w art. 68 ustawy Prawo wodne, wraz z uzasadnieniem spełnienia tych warunków.</w:t>
      </w:r>
    </w:p>
    <w:p w14:paraId="49378C25" w14:textId="68BE7AAB" w:rsidR="00985BA8" w:rsidRPr="000B4612" w:rsidRDefault="00C20D52" w:rsidP="00C20D52">
      <w:pPr>
        <w:pStyle w:val="podpunkty"/>
        <w:numPr>
          <w:ilvl w:val="0"/>
          <w:numId w:val="24"/>
        </w:numPr>
      </w:pPr>
      <w:r w:rsidRPr="000B4612">
        <w:t xml:space="preserve">sporządzając wykaz Wykonawca uzupełni pozyskane informacje o dane dotyczące </w:t>
      </w:r>
      <w:proofErr w:type="spellStart"/>
      <w:r w:rsidRPr="000B4612">
        <w:t>jcw</w:t>
      </w:r>
      <w:proofErr w:type="spellEnd"/>
      <w:r w:rsidRPr="000B4612">
        <w:t xml:space="preserve">, na które wpływa inwestycja (przeniesienie na „nowy” układ </w:t>
      </w:r>
      <w:proofErr w:type="spellStart"/>
      <w:r w:rsidRPr="000B4612">
        <w:t>jcw</w:t>
      </w:r>
      <w:proofErr w:type="spellEnd"/>
      <w:r w:rsidRPr="000B4612">
        <w:t xml:space="preserve">) oraz o powiązanie z innymi dokumentami planistycznymi. </w:t>
      </w:r>
      <w:r w:rsidR="00985BA8" w:rsidRPr="000B4612">
        <w:t xml:space="preserve"> </w:t>
      </w:r>
    </w:p>
    <w:p w14:paraId="37E3B59B" w14:textId="0395C416" w:rsidR="00D64311" w:rsidRPr="00D64311" w:rsidRDefault="00D64311" w:rsidP="00D64311">
      <w:pPr>
        <w:pStyle w:val="Styl1punkty"/>
        <w:ind w:left="320"/>
      </w:pPr>
      <w:r w:rsidRPr="00D64311">
        <w:t>Sporządzi spójny i jednolity w skali kraju wykaz wielkości emisji i stężeń substancji priorytetowych określonych w przepisach wydanych na podstawie art. 114 ustawy Prawo wodne oraz innych substancji powodujących zanieczyszczenie, dla których zostały określone środowiskowe normy jakości. Jednolity wykaz zostanie opracowany przez Wykonawcę na podstawie wykazów sporządzonych przez poszczególne regionalne zarządy g</w:t>
      </w:r>
      <w:r w:rsidR="00C316CC">
        <w:t>ospodarki wodnej oraz zgodnie z </w:t>
      </w:r>
      <w:r w:rsidRPr="00D64311">
        <w:t xml:space="preserve">wytycznymi KE </w:t>
      </w:r>
      <w:proofErr w:type="spellStart"/>
      <w:r w:rsidRPr="00D64311">
        <w:t>Guidance</w:t>
      </w:r>
      <w:proofErr w:type="spellEnd"/>
      <w:r w:rsidRPr="00D64311">
        <w:t xml:space="preserve"> </w:t>
      </w:r>
      <w:proofErr w:type="spellStart"/>
      <w:r w:rsidRPr="00D64311">
        <w:t>Document</w:t>
      </w:r>
      <w:proofErr w:type="spellEnd"/>
      <w:r w:rsidRPr="00D64311">
        <w:t xml:space="preserve"> No. 28, Technical </w:t>
      </w:r>
      <w:proofErr w:type="spellStart"/>
      <w:r w:rsidRPr="00D64311">
        <w:t>Guidance</w:t>
      </w:r>
      <w:proofErr w:type="spellEnd"/>
      <w:r w:rsidRPr="00D64311">
        <w:t xml:space="preserve"> on the </w:t>
      </w:r>
      <w:proofErr w:type="spellStart"/>
      <w:r w:rsidRPr="00D64311">
        <w:t>Preparation</w:t>
      </w:r>
      <w:proofErr w:type="spellEnd"/>
      <w:r w:rsidRPr="00D64311">
        <w:t xml:space="preserve"> of </w:t>
      </w:r>
      <w:proofErr w:type="spellStart"/>
      <w:r w:rsidRPr="00D64311">
        <w:t>an</w:t>
      </w:r>
      <w:proofErr w:type="spellEnd"/>
      <w:r w:rsidRPr="00D64311">
        <w:t xml:space="preserve"> Inventory of </w:t>
      </w:r>
      <w:proofErr w:type="spellStart"/>
      <w:r w:rsidRPr="00D64311">
        <w:t>Emissions</w:t>
      </w:r>
      <w:proofErr w:type="spellEnd"/>
      <w:r w:rsidRPr="00D64311">
        <w:t xml:space="preserve">, </w:t>
      </w:r>
      <w:proofErr w:type="spellStart"/>
      <w:r w:rsidRPr="00D64311">
        <w:t>Discharges</w:t>
      </w:r>
      <w:proofErr w:type="spellEnd"/>
      <w:r w:rsidRPr="00D64311">
        <w:t xml:space="preserve"> and </w:t>
      </w:r>
      <w:proofErr w:type="spellStart"/>
      <w:r w:rsidRPr="00D64311">
        <w:t>Losses</w:t>
      </w:r>
      <w:proofErr w:type="spellEnd"/>
      <w:r w:rsidRPr="00D64311">
        <w:t xml:space="preserve"> of </w:t>
      </w:r>
      <w:proofErr w:type="spellStart"/>
      <w:r w:rsidRPr="00D64311">
        <w:t>Priority</w:t>
      </w:r>
      <w:proofErr w:type="spellEnd"/>
      <w:r w:rsidRPr="00D64311">
        <w:t xml:space="preserve"> and </w:t>
      </w:r>
      <w:proofErr w:type="spellStart"/>
      <w:r w:rsidRPr="00D64311">
        <w:t>Priority</w:t>
      </w:r>
      <w:proofErr w:type="spellEnd"/>
      <w:r w:rsidRPr="00D64311">
        <w:t xml:space="preserve"> </w:t>
      </w:r>
      <w:proofErr w:type="spellStart"/>
      <w:r w:rsidRPr="00D64311">
        <w:t>Hazardous</w:t>
      </w:r>
      <w:proofErr w:type="spellEnd"/>
      <w:r w:rsidRPr="00D64311">
        <w:t xml:space="preserve"> </w:t>
      </w:r>
      <w:proofErr w:type="spellStart"/>
      <w:r w:rsidRPr="00D64311">
        <w:t>Substances</w:t>
      </w:r>
      <w:proofErr w:type="spellEnd"/>
      <w:r w:rsidRPr="00D64311">
        <w:t>. Do wykazu zostanie dołączony opis jego realizacji wraz z przedstawieniem wniosków.</w:t>
      </w:r>
    </w:p>
    <w:p w14:paraId="59737CCA" w14:textId="21DB3A3F" w:rsidR="00D64311" w:rsidRDefault="00D64311" w:rsidP="00D64311">
      <w:pPr>
        <w:pStyle w:val="Styl1punkty"/>
        <w:ind w:left="426"/>
      </w:pPr>
      <w:r w:rsidRPr="00ED013B">
        <w:lastRenderedPageBreak/>
        <w:t xml:space="preserve">Sporządzi metodykę opracowania zestawu działań </w:t>
      </w:r>
      <w:r w:rsidR="00E56DB2">
        <w:t xml:space="preserve">podstawowych i uzupełniających </w:t>
      </w:r>
      <w:r w:rsidRPr="00ED013B">
        <w:t xml:space="preserve">dla wszystkich </w:t>
      </w:r>
      <w:proofErr w:type="spellStart"/>
      <w:r w:rsidRPr="00ED013B">
        <w:t>jcwp</w:t>
      </w:r>
      <w:proofErr w:type="spellEnd"/>
      <w:r w:rsidRPr="00ED013B">
        <w:t xml:space="preserve"> i </w:t>
      </w:r>
      <w:proofErr w:type="spellStart"/>
      <w:r w:rsidR="006B1DBD">
        <w:t>JCWPd</w:t>
      </w:r>
      <w:proofErr w:type="spellEnd"/>
      <w:r w:rsidRPr="00ED013B">
        <w:t xml:space="preserve"> z uwzględnieniem sposobów osiągania ustanawianych celów środowiskowych. </w:t>
      </w:r>
    </w:p>
    <w:p w14:paraId="00189AAF" w14:textId="0F921B55" w:rsidR="00E56DB2" w:rsidRDefault="00E56DB2" w:rsidP="002607F0">
      <w:pPr>
        <w:pStyle w:val="Akapitzlist"/>
        <w:numPr>
          <w:ilvl w:val="0"/>
          <w:numId w:val="5"/>
        </w:numPr>
      </w:pPr>
      <w:r>
        <w:t xml:space="preserve">Wykonawca </w:t>
      </w:r>
      <w:r w:rsidRPr="00D64311">
        <w:t xml:space="preserve">dokona przeglądu wszystkich działań podstawowych i uzupełniających przewidzianych do realizacji w aPGW z 2016 r., zwłaszcza </w:t>
      </w:r>
      <w:r w:rsidRPr="00E56DB2">
        <w:t xml:space="preserve">w okresie </w:t>
      </w:r>
      <w:r w:rsidR="00695D7F">
        <w:t xml:space="preserve">lat </w:t>
      </w:r>
      <w:r w:rsidRPr="00E56DB2">
        <w:t>2019-2020.</w:t>
      </w:r>
      <w:r w:rsidRPr="00D64311">
        <w:t xml:space="preserve"> </w:t>
      </w:r>
      <w:r w:rsidR="00173CC5" w:rsidRPr="00D64311">
        <w:t xml:space="preserve">Dane za </w:t>
      </w:r>
      <w:r w:rsidR="00173CC5" w:rsidRPr="00E56DB2">
        <w:t>lata 2016-201</w:t>
      </w:r>
      <w:r w:rsidR="00173CC5">
        <w:t>8</w:t>
      </w:r>
      <w:r w:rsidR="00173CC5" w:rsidRPr="00E56DB2">
        <w:t xml:space="preserve"> r.</w:t>
      </w:r>
      <w:r w:rsidR="00173CC5" w:rsidRPr="00D64311">
        <w:t xml:space="preserve"> będą pochodzić z pracy </w:t>
      </w:r>
      <w:proofErr w:type="spellStart"/>
      <w:r w:rsidR="00173CC5" w:rsidRPr="00D64311">
        <w:t>pn</w:t>
      </w:r>
      <w:proofErr w:type="spellEnd"/>
      <w:r w:rsidR="00173CC5" w:rsidRPr="00D64311">
        <w:t>.:„Ocena postępu we wdrażaniu programów działań wraz ze sporządzeniem raportu dla KE (z I aktualizacji PWŚK)</w:t>
      </w:r>
      <w:r w:rsidR="00173CC5">
        <w:t xml:space="preserve"> oraz rocznych  sprawozdań z realizacji działań zgodnie z art. 328 ustawy Prawo wodne</w:t>
      </w:r>
      <w:r w:rsidR="00173CC5" w:rsidRPr="00D64311">
        <w:t xml:space="preserve">. </w:t>
      </w:r>
      <w:r w:rsidR="00173CC5">
        <w:t xml:space="preserve">Wykonawca dokona </w:t>
      </w:r>
      <w:r w:rsidR="00173CC5" w:rsidRPr="00D64311">
        <w:t xml:space="preserve">ich charakterystyk oraz </w:t>
      </w:r>
      <w:r w:rsidR="00173CC5">
        <w:t xml:space="preserve">wykaże </w:t>
      </w:r>
      <w:r w:rsidR="00173CC5" w:rsidRPr="00D64311">
        <w:t>dlaczego niektóre z nich nie zostały zrealizowane</w:t>
      </w:r>
      <w:r w:rsidR="00173CC5">
        <w:t xml:space="preserve"> oraz </w:t>
      </w:r>
      <w:r w:rsidR="00173CC5" w:rsidRPr="00F65EEC">
        <w:t xml:space="preserve">wskaże przyczynę opóźnień oraz </w:t>
      </w:r>
      <w:r w:rsidR="00173CC5" w:rsidRPr="00640696">
        <w:t>podjęte działania zaradcze.</w:t>
      </w:r>
      <w:r w:rsidR="00173CC5" w:rsidRPr="00D64311">
        <w:t xml:space="preserve"> Wykonawca przedstawi także ww. informacje w postaci zestawień tabelarycznych/graficznych</w:t>
      </w:r>
      <w:r w:rsidR="00173CC5">
        <w:t xml:space="preserve"> (w tym podział na koszty ze środków krajowych i europejskich poniesione na realizację działań)</w:t>
      </w:r>
      <w:r w:rsidR="00173CC5" w:rsidRPr="00D64311">
        <w:t>.</w:t>
      </w:r>
      <w:r w:rsidR="00173CC5">
        <w:t xml:space="preserve"> Za lata 2018-2019 Wykonawca pozyska dane od ministra właściwego ds. gospodarki wodnej. Za rok 2020 Wykonawca przedstawi powyższe informacje w etapie II (w suplemencie do metodyki zestawu działań podstawowych i uzupełniających) na podstawie danych pozyskanych od ministra właściwego ds. gospodarki wodnej.</w:t>
      </w:r>
    </w:p>
    <w:p w14:paraId="52852E90" w14:textId="6B6A73C9" w:rsidR="00D64311" w:rsidRDefault="00D64311" w:rsidP="002607F0">
      <w:pPr>
        <w:pStyle w:val="Styl2podpunkty"/>
        <w:numPr>
          <w:ilvl w:val="0"/>
          <w:numId w:val="5"/>
        </w:numPr>
      </w:pPr>
      <w:r>
        <w:t xml:space="preserve">Dokona przeglądu dokumentów </w:t>
      </w:r>
      <w:r w:rsidR="00EB7673">
        <w:t xml:space="preserve">planistycznych/strategicznych </w:t>
      </w:r>
      <w:r>
        <w:t>(lub ich projektów</w:t>
      </w:r>
      <w:r w:rsidR="00EB7673">
        <w:t xml:space="preserve">) </w:t>
      </w:r>
      <w:r>
        <w:t xml:space="preserve">w celu zidentyfikowania działań oraz zapewnia </w:t>
      </w:r>
      <w:r w:rsidR="00EB7673">
        <w:t xml:space="preserve">z nimi </w:t>
      </w:r>
      <w:r>
        <w:t xml:space="preserve">zgodności </w:t>
      </w:r>
      <w:r w:rsidR="00E56DB2">
        <w:t>z</w:t>
      </w:r>
      <w:r w:rsidR="002D197A" w:rsidRPr="00EB7673">
        <w:t xml:space="preserve"> </w:t>
      </w:r>
      <w:r>
        <w:t>dokumentami strategicznymi. Wykonawca dokona także analizy obowiązujących aktów prawnych pod kątem identyfikacji działań podstawowych.</w:t>
      </w:r>
    </w:p>
    <w:p w14:paraId="709E50AB" w14:textId="10AE10E0" w:rsidR="009635E3" w:rsidRPr="00EB7673" w:rsidRDefault="00D64311" w:rsidP="002607F0">
      <w:pPr>
        <w:pStyle w:val="Styl2podpunkty"/>
        <w:numPr>
          <w:ilvl w:val="0"/>
          <w:numId w:val="5"/>
        </w:numPr>
      </w:pPr>
      <w:r>
        <w:t>Ponadto, metod</w:t>
      </w:r>
      <w:r w:rsidR="00EB7673">
        <w:t xml:space="preserve">yka będzie określać </w:t>
      </w:r>
      <w:r w:rsidR="0088645E" w:rsidRPr="00EB7673">
        <w:rPr>
          <w:rFonts w:cs="Calibri"/>
        </w:rPr>
        <w:t xml:space="preserve">sposób podejścia do identyfikacji działań z zakresu zachowania ciągłości morfologicznej w kontekście zaplanowanych celów środowiskowych dla </w:t>
      </w:r>
      <w:proofErr w:type="spellStart"/>
      <w:r w:rsidR="0088645E" w:rsidRPr="00EB7673">
        <w:rPr>
          <w:rFonts w:cs="Calibri"/>
        </w:rPr>
        <w:t>jcwp</w:t>
      </w:r>
      <w:proofErr w:type="spellEnd"/>
      <w:r w:rsidR="0088645E" w:rsidRPr="00EB7673">
        <w:rPr>
          <w:rFonts w:cs="Calibri"/>
        </w:rPr>
        <w:t>, w tym</w:t>
      </w:r>
      <w:r w:rsidR="00C34F04" w:rsidRPr="00EB7673">
        <w:rPr>
          <w:rFonts w:cs="Calibri"/>
        </w:rPr>
        <w:t xml:space="preserve"> sposób</w:t>
      </w:r>
      <w:r w:rsidR="0088645E" w:rsidRPr="00EB7673">
        <w:rPr>
          <w:rFonts w:cs="Calibri"/>
        </w:rPr>
        <w:t xml:space="preserve"> przeprowadzenia </w:t>
      </w:r>
      <w:r w:rsidR="00C34F04" w:rsidRPr="00EB7673">
        <w:rPr>
          <w:rFonts w:cs="Calibri"/>
        </w:rPr>
        <w:t>analizy/oceny</w:t>
      </w:r>
      <w:r w:rsidR="0088645E" w:rsidRPr="00EB7673">
        <w:rPr>
          <w:rFonts w:cs="Calibri"/>
        </w:rPr>
        <w:t xml:space="preserve"> funkcjonowania istniejących urządzeń do migracji ryb</w:t>
      </w:r>
      <w:r w:rsidR="00095650" w:rsidRPr="00EB7673">
        <w:rPr>
          <w:rFonts w:cs="Calibri"/>
        </w:rPr>
        <w:t>. Poprzez oceny funkcjonowania istniejących urządzeń do migracji ryb rozumie się, czy parametry techniczne urządzeń do migracji ryb są wystarczające dla gatunków reprezentacyjnych. W mi</w:t>
      </w:r>
      <w:r w:rsidR="008B77B9">
        <w:rPr>
          <w:rFonts w:cs="Calibri"/>
        </w:rPr>
        <w:t>arę</w:t>
      </w:r>
      <w:r w:rsidR="00095650" w:rsidRPr="00EB7673">
        <w:rPr>
          <w:rFonts w:cs="Calibri"/>
        </w:rPr>
        <w:t xml:space="preserve"> możliwości</w:t>
      </w:r>
      <w:r w:rsidR="00C316CC">
        <w:rPr>
          <w:rFonts w:cs="Calibri"/>
        </w:rPr>
        <w:t xml:space="preserve"> Wykonawca uzupełni ocenę tą o </w:t>
      </w:r>
      <w:r w:rsidR="00095650" w:rsidRPr="00EB7673">
        <w:rPr>
          <w:rFonts w:cs="Calibri"/>
        </w:rPr>
        <w:t>dane dotyczące rzeczywistych skuteczności urządzeń do migracji ryb</w:t>
      </w:r>
      <w:r w:rsidR="008B77B9">
        <w:rPr>
          <w:rFonts w:cs="Calibri"/>
        </w:rPr>
        <w:t>.</w:t>
      </w:r>
    </w:p>
    <w:p w14:paraId="683E71F4" w14:textId="77777777" w:rsidR="001F5EEB" w:rsidRPr="001F5EEB" w:rsidRDefault="001F5EEB" w:rsidP="001F5EEB">
      <w:pPr>
        <w:pStyle w:val="Styl1punkty"/>
        <w:spacing w:after="0"/>
        <w:ind w:left="320"/>
        <w:rPr>
          <w:rFonts w:cs="Calibri"/>
          <w:color w:val="000000"/>
        </w:rPr>
      </w:pPr>
      <w:r w:rsidRPr="001F5EEB">
        <w:rPr>
          <w:rFonts w:cs="Calibri"/>
          <w:color w:val="000000"/>
        </w:rPr>
        <w:t>Sporządzi zestaw działań podstawowych i uzupełniających, który zawierać będzie co najmniej:</w:t>
      </w:r>
    </w:p>
    <w:p w14:paraId="3EA67B4D" w14:textId="36BDCAFA" w:rsidR="001F5EEB" w:rsidRDefault="001F5EEB" w:rsidP="002607F0">
      <w:pPr>
        <w:pStyle w:val="Styl1punkty"/>
        <w:numPr>
          <w:ilvl w:val="0"/>
          <w:numId w:val="6"/>
        </w:numPr>
        <w:spacing w:after="0"/>
        <w:rPr>
          <w:rFonts w:cs="Calibri"/>
          <w:color w:val="000000"/>
        </w:rPr>
      </w:pPr>
      <w:r w:rsidRPr="001F5EEB">
        <w:rPr>
          <w:rFonts w:cs="Calibri"/>
          <w:color w:val="000000"/>
        </w:rPr>
        <w:t xml:space="preserve">Określenie działań podstawowych i uzupełniających dla poszczególnych </w:t>
      </w:r>
      <w:proofErr w:type="spellStart"/>
      <w:r w:rsidR="006B1DBD">
        <w:rPr>
          <w:rFonts w:cs="Calibri"/>
          <w:color w:val="000000"/>
        </w:rPr>
        <w:t>jcwp</w:t>
      </w:r>
      <w:proofErr w:type="spellEnd"/>
      <w:r w:rsidRPr="001F5EEB">
        <w:rPr>
          <w:rFonts w:cs="Calibri"/>
          <w:color w:val="000000"/>
        </w:rPr>
        <w:t xml:space="preserve"> wszystkich kategorii (rzeki, jeziora, wody przejściowe i przybrzeżne) i </w:t>
      </w:r>
      <w:proofErr w:type="spellStart"/>
      <w:r w:rsidR="006B1DBD">
        <w:rPr>
          <w:rFonts w:cs="Calibri"/>
          <w:color w:val="000000"/>
        </w:rPr>
        <w:t>JCWPd</w:t>
      </w:r>
      <w:proofErr w:type="spellEnd"/>
      <w:r w:rsidRPr="001F5EEB">
        <w:rPr>
          <w:rFonts w:cs="Calibri"/>
          <w:color w:val="000000"/>
        </w:rPr>
        <w:t xml:space="preserve"> wymaganych na mocy art. 324 ust. 2 i 4 ustawy Prawo wodne oraz art. 11 ust. 3,4,5 RDW. Każde działanie musi:</w:t>
      </w:r>
    </w:p>
    <w:p w14:paraId="4C85443D" w14:textId="46AACF80" w:rsidR="001060EF" w:rsidRPr="001060EF" w:rsidRDefault="001060EF" w:rsidP="002607F0">
      <w:pPr>
        <w:numPr>
          <w:ilvl w:val="0"/>
          <w:numId w:val="7"/>
        </w:numPr>
        <w:spacing w:after="0"/>
        <w:ind w:left="1434" w:hanging="357"/>
        <w:rPr>
          <w:rFonts w:eastAsia="Times New Roman" w:cs="Calibri"/>
          <w:lang w:eastAsia="pl-PL"/>
        </w:rPr>
      </w:pPr>
      <w:r>
        <w:rPr>
          <w:rFonts w:eastAsia="Times New Roman" w:cs="Calibri"/>
          <w:lang w:eastAsia="pl-PL"/>
        </w:rPr>
        <w:t xml:space="preserve">zawierać informację dotyczącą rodzaju działania (podstawowe /uzupełniające). </w:t>
      </w:r>
    </w:p>
    <w:p w14:paraId="13D514C3" w14:textId="6E4E4A4C" w:rsidR="001F5EEB" w:rsidRPr="00002D1C" w:rsidRDefault="001F5EEB" w:rsidP="002607F0">
      <w:pPr>
        <w:numPr>
          <w:ilvl w:val="0"/>
          <w:numId w:val="7"/>
        </w:numPr>
        <w:spacing w:after="0"/>
        <w:ind w:left="1434" w:hanging="357"/>
        <w:rPr>
          <w:rFonts w:eastAsia="Times New Roman" w:cs="Calibri"/>
          <w:lang w:eastAsia="pl-PL"/>
        </w:rPr>
      </w:pPr>
      <w:r w:rsidRPr="00002D1C">
        <w:rPr>
          <w:rFonts w:eastAsia="Times New Roman" w:cs="Calibri"/>
          <w:lang w:eastAsia="pl-PL"/>
        </w:rPr>
        <w:t>mieć przypisaną jednostkę odpowiedzialną za jego realizację oraz harmonogram wdrożenia;</w:t>
      </w:r>
    </w:p>
    <w:p w14:paraId="708A43DF" w14:textId="2401156E" w:rsidR="001F5EEB" w:rsidRDefault="001F5EEB" w:rsidP="002607F0">
      <w:pPr>
        <w:numPr>
          <w:ilvl w:val="0"/>
          <w:numId w:val="7"/>
        </w:numPr>
        <w:spacing w:after="0"/>
        <w:ind w:left="1434" w:hanging="357"/>
        <w:rPr>
          <w:rFonts w:eastAsia="Times New Roman" w:cs="Calibri"/>
          <w:lang w:eastAsia="pl-PL"/>
        </w:rPr>
      </w:pPr>
      <w:r w:rsidRPr="00002D1C">
        <w:rPr>
          <w:rFonts w:eastAsia="Times New Roman" w:cs="Calibri"/>
          <w:lang w:eastAsia="pl-PL"/>
        </w:rPr>
        <w:t xml:space="preserve">mieć przypisaną jednostkę </w:t>
      </w:r>
      <w:r w:rsidR="0088645E">
        <w:rPr>
          <w:rFonts w:eastAsia="Times New Roman" w:cs="Calibri"/>
          <w:lang w:eastAsia="pl-PL"/>
        </w:rPr>
        <w:t>wiodącą w przypadku, gdy za realizację działania odpowiada więcej niż jedna jednostka;</w:t>
      </w:r>
      <w:r w:rsidR="002D197A">
        <w:rPr>
          <w:rFonts w:eastAsia="Times New Roman" w:cs="Calibri"/>
          <w:lang w:eastAsia="pl-PL"/>
        </w:rPr>
        <w:t xml:space="preserve"> </w:t>
      </w:r>
    </w:p>
    <w:p w14:paraId="035AA359" w14:textId="77777777" w:rsidR="001F5EEB" w:rsidRPr="007E247F" w:rsidRDefault="001F5EEB" w:rsidP="002607F0">
      <w:pPr>
        <w:numPr>
          <w:ilvl w:val="0"/>
          <w:numId w:val="7"/>
        </w:numPr>
        <w:spacing w:after="0"/>
        <w:ind w:left="1434" w:hanging="357"/>
        <w:rPr>
          <w:rFonts w:eastAsia="Times New Roman" w:cs="Calibri"/>
          <w:lang w:eastAsia="pl-PL"/>
        </w:rPr>
      </w:pPr>
      <w:r w:rsidRPr="007E247F">
        <w:rPr>
          <w:rFonts w:cs="Calibri"/>
        </w:rPr>
        <w:t>mieć określony wskaźnik oceny postępu w ich wdrażaniu;</w:t>
      </w:r>
    </w:p>
    <w:p w14:paraId="47393F02" w14:textId="2E786286" w:rsidR="001F5EEB" w:rsidRPr="007E247F" w:rsidRDefault="001F5EEB" w:rsidP="002607F0">
      <w:pPr>
        <w:numPr>
          <w:ilvl w:val="0"/>
          <w:numId w:val="7"/>
        </w:numPr>
        <w:spacing w:after="0"/>
        <w:ind w:left="1434" w:hanging="357"/>
        <w:rPr>
          <w:rFonts w:eastAsia="Times New Roman" w:cs="Calibri"/>
          <w:lang w:eastAsia="pl-PL"/>
        </w:rPr>
      </w:pPr>
      <w:r w:rsidRPr="007E247F">
        <w:rPr>
          <w:rFonts w:cs="Calibri"/>
        </w:rPr>
        <w:lastRenderedPageBreak/>
        <w:t>zostać przeanalizowane pod kątem oceny skuteczności i realności w ich wdrożeniu</w:t>
      </w:r>
      <w:r w:rsidR="00C34F04">
        <w:rPr>
          <w:rFonts w:cs="Calibri"/>
        </w:rPr>
        <w:t>, przed włączeniem go do zestawu działań</w:t>
      </w:r>
      <w:r w:rsidRPr="007E247F">
        <w:rPr>
          <w:rFonts w:cs="Calibri"/>
        </w:rPr>
        <w:t>;</w:t>
      </w:r>
    </w:p>
    <w:p w14:paraId="7A3319F9" w14:textId="77777777"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mieć określony koszt realizacji oraz wskazane potencjalne źródło finansowania ze wskazaniem źródeł krajowych i europejskich;</w:t>
      </w:r>
    </w:p>
    <w:p w14:paraId="15785507" w14:textId="77777777"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zostać poddane analizie skutków społeczno-gospodarczych związanych z ich realizacją;</w:t>
      </w:r>
    </w:p>
    <w:p w14:paraId="4462B2DA" w14:textId="4995ABAF"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zostać poddane analizie efektywności kosztowej oraz priorytetyzacji w obrębie poszczególnych jednolitych części wód</w:t>
      </w:r>
      <w:r w:rsidR="00E56DB2">
        <w:rPr>
          <w:rFonts w:eastAsia="Times New Roman" w:cs="Calibri"/>
          <w:lang w:eastAsia="pl-PL"/>
        </w:rPr>
        <w:t xml:space="preserve"> z uwagi na cel środowiskowy</w:t>
      </w:r>
      <w:r w:rsidRPr="007E247F">
        <w:rPr>
          <w:rFonts w:eastAsia="Times New Roman" w:cs="Calibri"/>
          <w:lang w:eastAsia="pl-PL"/>
        </w:rPr>
        <w:t>;</w:t>
      </w:r>
    </w:p>
    <w:p w14:paraId="19742FB6" w14:textId="77777777"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 xml:space="preserve">zostać poddane analizie wpływu realizacji działań na </w:t>
      </w:r>
      <w:proofErr w:type="spellStart"/>
      <w:r w:rsidRPr="007E247F">
        <w:rPr>
          <w:rFonts w:eastAsia="Times New Roman" w:cs="Calibri"/>
          <w:lang w:eastAsia="pl-PL"/>
        </w:rPr>
        <w:t>jcw</w:t>
      </w:r>
      <w:proofErr w:type="spellEnd"/>
      <w:r w:rsidRPr="007E247F">
        <w:rPr>
          <w:rFonts w:eastAsia="Times New Roman" w:cs="Calibri"/>
          <w:lang w:eastAsia="pl-PL"/>
        </w:rPr>
        <w:t xml:space="preserve"> znajdujące się poniżej/ powyżej </w:t>
      </w:r>
      <w:proofErr w:type="spellStart"/>
      <w:r w:rsidRPr="007E247F">
        <w:rPr>
          <w:rFonts w:eastAsia="Times New Roman" w:cs="Calibri"/>
          <w:lang w:eastAsia="pl-PL"/>
        </w:rPr>
        <w:t>jcw</w:t>
      </w:r>
      <w:proofErr w:type="spellEnd"/>
      <w:r w:rsidRPr="007E247F">
        <w:rPr>
          <w:rFonts w:eastAsia="Times New Roman" w:cs="Calibri"/>
          <w:lang w:eastAsia="pl-PL"/>
        </w:rPr>
        <w:t>, w której zaplanowano działanie;</w:t>
      </w:r>
    </w:p>
    <w:p w14:paraId="19571CC8" w14:textId="4CA0B97E"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 xml:space="preserve">podlegać sprawdzianowi klimatycznemu, zgodnie z wytycznymi KE 24 (CIS </w:t>
      </w:r>
      <w:proofErr w:type="spellStart"/>
      <w:r w:rsidRPr="007E247F">
        <w:rPr>
          <w:rFonts w:eastAsia="Times New Roman" w:cs="Calibri"/>
          <w:lang w:eastAsia="pl-PL"/>
        </w:rPr>
        <w:t>Guidance</w:t>
      </w:r>
      <w:proofErr w:type="spellEnd"/>
      <w:r w:rsidRPr="007E247F">
        <w:rPr>
          <w:rFonts w:eastAsia="Times New Roman" w:cs="Calibri"/>
          <w:lang w:eastAsia="pl-PL"/>
        </w:rPr>
        <w:t xml:space="preserve"> </w:t>
      </w:r>
      <w:proofErr w:type="spellStart"/>
      <w:r w:rsidRPr="007E247F">
        <w:rPr>
          <w:rFonts w:eastAsia="Times New Roman" w:cs="Calibri"/>
          <w:lang w:eastAsia="pl-PL"/>
        </w:rPr>
        <w:t>Document</w:t>
      </w:r>
      <w:proofErr w:type="spellEnd"/>
      <w:r w:rsidRPr="007E247F">
        <w:rPr>
          <w:rFonts w:eastAsia="Times New Roman" w:cs="Calibri"/>
          <w:lang w:eastAsia="pl-PL"/>
        </w:rPr>
        <w:t xml:space="preserve"> No 24 River </w:t>
      </w:r>
      <w:proofErr w:type="spellStart"/>
      <w:r w:rsidRPr="007E247F">
        <w:rPr>
          <w:rFonts w:eastAsia="Times New Roman" w:cs="Calibri"/>
          <w:lang w:eastAsia="pl-PL"/>
        </w:rPr>
        <w:t>Basin</w:t>
      </w:r>
      <w:proofErr w:type="spellEnd"/>
      <w:r w:rsidRPr="007E247F">
        <w:rPr>
          <w:rFonts w:eastAsia="Times New Roman" w:cs="Calibri"/>
          <w:lang w:eastAsia="pl-PL"/>
        </w:rPr>
        <w:t xml:space="preserve"> Management in a </w:t>
      </w:r>
      <w:proofErr w:type="spellStart"/>
      <w:r w:rsidRPr="007E247F">
        <w:rPr>
          <w:rFonts w:eastAsia="Times New Roman" w:cs="Calibri"/>
          <w:lang w:eastAsia="pl-PL"/>
        </w:rPr>
        <w:t>changing</w:t>
      </w:r>
      <w:proofErr w:type="spellEnd"/>
      <w:r w:rsidRPr="007E247F">
        <w:rPr>
          <w:rFonts w:eastAsia="Times New Roman" w:cs="Calibri"/>
          <w:lang w:eastAsia="pl-PL"/>
        </w:rPr>
        <w:t xml:space="preserve"> </w:t>
      </w:r>
      <w:proofErr w:type="spellStart"/>
      <w:r w:rsidRPr="007E247F">
        <w:rPr>
          <w:rFonts w:eastAsia="Times New Roman" w:cs="Calibri"/>
          <w:lang w:eastAsia="pl-PL"/>
        </w:rPr>
        <w:t>climate</w:t>
      </w:r>
      <w:proofErr w:type="spellEnd"/>
      <w:r w:rsidRPr="007E247F">
        <w:rPr>
          <w:rFonts w:eastAsia="Times New Roman" w:cs="Calibri"/>
          <w:lang w:eastAsia="pl-PL"/>
        </w:rPr>
        <w:t>), zawierające ocenę efektywności programów działań w kontekście zmieniających się warunków klimatycznych (szczególnie w odniesieniu do inwestycji długookresowych);</w:t>
      </w:r>
    </w:p>
    <w:p w14:paraId="3DF7D8F5" w14:textId="77777777" w:rsidR="001F5EEB" w:rsidRPr="007E247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zostać powiązane z presją/presjami i jej/ich wpływem na stan wód oraz założonego efektu środowiskowego w przypadku ich wdrożenia;</w:t>
      </w:r>
    </w:p>
    <w:p w14:paraId="61369D93" w14:textId="14F93981" w:rsidR="001060EF" w:rsidRDefault="001F5EEB" w:rsidP="002607F0">
      <w:pPr>
        <w:numPr>
          <w:ilvl w:val="0"/>
          <w:numId w:val="7"/>
        </w:numPr>
        <w:spacing w:after="0"/>
        <w:ind w:left="1434" w:hanging="357"/>
        <w:rPr>
          <w:rFonts w:eastAsia="Times New Roman" w:cs="Calibri"/>
          <w:lang w:eastAsia="pl-PL"/>
        </w:rPr>
      </w:pPr>
      <w:r w:rsidRPr="007E247F">
        <w:rPr>
          <w:rFonts w:eastAsia="Times New Roman" w:cs="Calibri"/>
          <w:lang w:eastAsia="pl-PL"/>
        </w:rPr>
        <w:t>zostać powiązane z działaniami wynikającymi z dokumentów strategicznych (jeśli dotyczą)</w:t>
      </w:r>
      <w:r w:rsidR="001060EF">
        <w:rPr>
          <w:rFonts w:eastAsia="Times New Roman" w:cs="Calibri"/>
          <w:lang w:eastAsia="pl-PL"/>
        </w:rPr>
        <w:t>;</w:t>
      </w:r>
    </w:p>
    <w:p w14:paraId="07480272" w14:textId="180998DD" w:rsidR="001060EF" w:rsidRDefault="001060EF" w:rsidP="002607F0">
      <w:pPr>
        <w:numPr>
          <w:ilvl w:val="0"/>
          <w:numId w:val="7"/>
        </w:numPr>
        <w:spacing w:after="0"/>
        <w:ind w:left="1434" w:hanging="357"/>
        <w:rPr>
          <w:rFonts w:eastAsia="Times New Roman" w:cs="Calibri"/>
          <w:lang w:eastAsia="pl-PL"/>
        </w:rPr>
      </w:pPr>
      <w:r w:rsidRPr="007E247F">
        <w:rPr>
          <w:rFonts w:eastAsia="Times New Roman" w:cs="Calibri"/>
          <w:lang w:eastAsia="pl-PL"/>
        </w:rPr>
        <w:t xml:space="preserve">zostać powiązane </w:t>
      </w:r>
      <w:r>
        <w:rPr>
          <w:rFonts w:eastAsia="Times New Roman" w:cs="Calibri"/>
          <w:lang w:eastAsia="pl-PL"/>
        </w:rPr>
        <w:t xml:space="preserve">z przepisami prawa </w:t>
      </w:r>
      <w:r>
        <w:t>(konkretny przepis danej ustawy/rozporządzenia, z której dany przepis wynika)</w:t>
      </w:r>
      <w:r w:rsidR="00C20059">
        <w:rPr>
          <w:rFonts w:eastAsia="Times New Roman" w:cs="Calibri"/>
          <w:lang w:eastAsia="pl-PL"/>
        </w:rPr>
        <w:t>;</w:t>
      </w:r>
    </w:p>
    <w:p w14:paraId="3D861D84" w14:textId="6B213004" w:rsidR="00C20059" w:rsidRPr="007E247F" w:rsidRDefault="00C20059" w:rsidP="002607F0">
      <w:pPr>
        <w:numPr>
          <w:ilvl w:val="0"/>
          <w:numId w:val="7"/>
        </w:numPr>
        <w:spacing w:after="0"/>
        <w:ind w:left="1434" w:hanging="357"/>
        <w:rPr>
          <w:rFonts w:eastAsia="Times New Roman" w:cs="Calibri"/>
          <w:lang w:eastAsia="pl-PL"/>
        </w:rPr>
      </w:pPr>
      <w:r>
        <w:rPr>
          <w:rFonts w:eastAsia="Times New Roman" w:cs="Calibri"/>
          <w:lang w:eastAsia="pl-PL"/>
        </w:rPr>
        <w:t xml:space="preserve">wszystkie pozostałe informacje w zależności od zakresu informacji niezbędnych do wypełnienia raportu do KE. </w:t>
      </w:r>
    </w:p>
    <w:p w14:paraId="0D2C7680" w14:textId="2F97645E" w:rsidR="001F5EEB" w:rsidRDefault="001F5EEB" w:rsidP="002607F0">
      <w:pPr>
        <w:pStyle w:val="Styl2podpunkty"/>
        <w:numPr>
          <w:ilvl w:val="0"/>
          <w:numId w:val="6"/>
        </w:numPr>
      </w:pPr>
      <w:r>
        <w:t xml:space="preserve">określenie katalogu działań podstawowych realizowanych na szczeblu krajowym </w:t>
      </w:r>
      <w:r w:rsidR="00C20059">
        <w:t xml:space="preserve">będzie przedstawiać </w:t>
      </w:r>
      <w:r>
        <w:t xml:space="preserve">co najmniej: podstawę prawną danego działania (konkretny przepis danej ustawy/rozporządzenia, Dyrektywę unijną, z której dany przepis wynika), nazwę działania, jednostkę odpowiedzialną za jego realizację, harmonogram realizacji. </w:t>
      </w:r>
    </w:p>
    <w:p w14:paraId="7DCAB183" w14:textId="315C78E5" w:rsidR="001F5EEB" w:rsidRDefault="001F5EEB" w:rsidP="002607F0">
      <w:pPr>
        <w:pStyle w:val="Styl2podpunkty"/>
        <w:numPr>
          <w:ilvl w:val="0"/>
          <w:numId w:val="6"/>
        </w:numPr>
      </w:pPr>
      <w:r>
        <w:t>określenie</w:t>
      </w:r>
      <w:r w:rsidRPr="000039B0">
        <w:t xml:space="preserve"> skuteczności wszystkich zaplanowany</w:t>
      </w:r>
      <w:r w:rsidR="00C316CC">
        <w:t xml:space="preserve">ch działań dla danej </w:t>
      </w:r>
      <w:proofErr w:type="spellStart"/>
      <w:r w:rsidR="00C316CC">
        <w:t>jcw</w:t>
      </w:r>
      <w:proofErr w:type="spellEnd"/>
      <w:r w:rsidR="00C316CC">
        <w:t xml:space="preserve"> wraz z </w:t>
      </w:r>
      <w:r w:rsidRPr="000039B0">
        <w:t xml:space="preserve">uwzględnieniem </w:t>
      </w:r>
      <w:r w:rsidR="006D72F4">
        <w:t xml:space="preserve">skutków </w:t>
      </w:r>
      <w:r w:rsidRPr="000039B0">
        <w:t xml:space="preserve">realizacji działań zaplanowanych dla sąsiednich </w:t>
      </w:r>
      <w:proofErr w:type="spellStart"/>
      <w:r w:rsidRPr="000039B0">
        <w:t>jcw</w:t>
      </w:r>
      <w:proofErr w:type="spellEnd"/>
      <w:r w:rsidRPr="000039B0">
        <w:t xml:space="preserve"> </w:t>
      </w:r>
      <w:r w:rsidR="00C316CC">
        <w:t>w </w:t>
      </w:r>
      <w:r>
        <w:t>kontekście możliwości osiągnięcia celów środowiskowych;</w:t>
      </w:r>
    </w:p>
    <w:p w14:paraId="6408E473" w14:textId="57B10B0B" w:rsidR="001F5EEB" w:rsidRDefault="001F5EEB" w:rsidP="002607F0">
      <w:pPr>
        <w:pStyle w:val="Styl2podpunkty"/>
        <w:numPr>
          <w:ilvl w:val="0"/>
          <w:numId w:val="6"/>
        </w:numPr>
      </w:pPr>
      <w:r>
        <w:t>zidentyfikowanie ewentualnych dysproporcjonalnych kosztów wdrożenia działań dla potrzeb identyfikacji odstępstw od osiągania celów środowiskowych</w:t>
      </w:r>
      <w:r w:rsidR="0088645E">
        <w:t>;</w:t>
      </w:r>
    </w:p>
    <w:p w14:paraId="3E01808F" w14:textId="056C6DA2" w:rsidR="0088645E" w:rsidRDefault="0088645E" w:rsidP="002607F0">
      <w:pPr>
        <w:pStyle w:val="Styl2podpunkty"/>
        <w:numPr>
          <w:ilvl w:val="0"/>
          <w:numId w:val="6"/>
        </w:numPr>
      </w:pPr>
      <w:r>
        <w:t xml:space="preserve">wskazanie urządzeń służących do migracji ryb, które </w:t>
      </w:r>
      <w:r w:rsidR="00C316CC">
        <w:t>powinny zostać zmodernizowane i </w:t>
      </w:r>
      <w:r>
        <w:t xml:space="preserve">obiektów, które wymagają takich urządzeń dla zapewnienia ciągłości morfologicznej </w:t>
      </w:r>
      <w:proofErr w:type="spellStart"/>
      <w:r>
        <w:t>jcw</w:t>
      </w:r>
      <w:proofErr w:type="spellEnd"/>
      <w:r>
        <w:t xml:space="preserve"> i osiągnięcie zaplanowanych celów środowiskowych.</w:t>
      </w:r>
    </w:p>
    <w:p w14:paraId="1B2B26B6" w14:textId="53C91861" w:rsidR="001F5EEB" w:rsidRPr="001F5EEB" w:rsidRDefault="001F5EEB" w:rsidP="001F5EEB">
      <w:pPr>
        <w:pStyle w:val="Styl1punkty"/>
        <w:ind w:left="320"/>
        <w:rPr>
          <w:rFonts w:cs="Calibri"/>
          <w:color w:val="000000"/>
        </w:rPr>
      </w:pPr>
      <w:r w:rsidRPr="001F5EEB">
        <w:rPr>
          <w:rFonts w:cs="Calibri"/>
          <w:color w:val="000000"/>
        </w:rPr>
        <w:t xml:space="preserve">W oparciu o założenia metodyczne, które zostaną zaakceptowane przez Zamawiającego, oraz w oparciu o wymagania Ramowej Dyrektywy Wodnej, ustawy Prawo wodne oraz jej aktów wykonawczych, a zwłaszcza obowiązującego rozporządzenia Rady Ministrów w sprawie szczegółowego zakresu opracowywania planów gospodarowania wodami na obszarach dorzeczy, Wykonawca sporządzi projekty II aPGW dla każdego obszaru dorzecza. </w:t>
      </w:r>
    </w:p>
    <w:p w14:paraId="6178E137" w14:textId="64B920D8" w:rsidR="001F5EEB" w:rsidRPr="001F5EEB" w:rsidRDefault="001F5EEB" w:rsidP="001F5EEB">
      <w:pPr>
        <w:pStyle w:val="Styl1punkty"/>
        <w:ind w:left="320"/>
        <w:rPr>
          <w:rFonts w:cs="Calibri"/>
          <w:color w:val="000000"/>
        </w:rPr>
      </w:pPr>
      <w:r w:rsidRPr="001F5EEB">
        <w:rPr>
          <w:rFonts w:cs="Calibri"/>
          <w:color w:val="000000"/>
        </w:rPr>
        <w:lastRenderedPageBreak/>
        <w:t xml:space="preserve">Wykonawca przeprowadzi weryfikację danego rozdziału pod kątem redakcji i korekt. Weryfikacja ta </w:t>
      </w:r>
      <w:r w:rsidR="008B27C7">
        <w:rPr>
          <w:rFonts w:cs="Calibri"/>
          <w:color w:val="000000"/>
        </w:rPr>
        <w:t>zostanie</w:t>
      </w:r>
      <w:r w:rsidR="008B27C7" w:rsidRPr="001F5EEB">
        <w:rPr>
          <w:rFonts w:cs="Calibri"/>
          <w:color w:val="000000"/>
        </w:rPr>
        <w:t xml:space="preserve"> </w:t>
      </w:r>
      <w:r w:rsidRPr="001F5EEB">
        <w:rPr>
          <w:rFonts w:cs="Calibri"/>
          <w:color w:val="000000"/>
        </w:rPr>
        <w:t xml:space="preserve">wykonana przez Specjalistę ds. Redakcji i Korekt Zespołu Wyniki tej weryfikacji </w:t>
      </w:r>
      <w:r w:rsidR="008B27C7">
        <w:rPr>
          <w:rFonts w:cs="Calibri"/>
          <w:color w:val="000000"/>
        </w:rPr>
        <w:t>zostaną</w:t>
      </w:r>
      <w:r w:rsidR="008B27C7" w:rsidRPr="001F5EEB">
        <w:rPr>
          <w:rFonts w:cs="Calibri"/>
          <w:color w:val="000000"/>
        </w:rPr>
        <w:t xml:space="preserve"> </w:t>
      </w:r>
      <w:r w:rsidRPr="001F5EEB">
        <w:rPr>
          <w:rFonts w:cs="Calibri"/>
          <w:color w:val="000000"/>
        </w:rPr>
        <w:t xml:space="preserve">przedstawione w sprawozdaniach dwumiesięcznych.  </w:t>
      </w:r>
    </w:p>
    <w:p w14:paraId="7564F7A9" w14:textId="13B80C4A" w:rsidR="001F5EEB" w:rsidRPr="001F5EEB" w:rsidRDefault="001F5EEB" w:rsidP="001F5EEB">
      <w:pPr>
        <w:pStyle w:val="Styl1punkty"/>
        <w:ind w:left="320"/>
        <w:rPr>
          <w:rFonts w:cs="Calibri"/>
          <w:color w:val="000000"/>
        </w:rPr>
      </w:pPr>
      <w:r w:rsidRPr="001F5EEB">
        <w:rPr>
          <w:rFonts w:cs="Calibri"/>
          <w:color w:val="000000"/>
        </w:rPr>
        <w:t xml:space="preserve">Przed rozpoczęciem procedury odbiorowej etapu I, Wykonawca przygotuje wszelkie niezbędne materiały do </w:t>
      </w:r>
      <w:r w:rsidR="00E56DB2" w:rsidRPr="001F5EEB">
        <w:rPr>
          <w:rFonts w:cs="Calibri"/>
          <w:color w:val="000000"/>
        </w:rPr>
        <w:t>opiniowania</w:t>
      </w:r>
      <w:r w:rsidRPr="001F5EEB">
        <w:rPr>
          <w:rFonts w:cs="Calibri"/>
          <w:color w:val="000000"/>
        </w:rPr>
        <w:t xml:space="preserve"> i uzgodnienia projektów II aPGW</w:t>
      </w:r>
      <w:r w:rsidR="00C316CC">
        <w:rPr>
          <w:rFonts w:cs="Calibri"/>
          <w:color w:val="000000"/>
        </w:rPr>
        <w:t xml:space="preserve"> z właściwymi wojewodami oraz z </w:t>
      </w:r>
      <w:r w:rsidRPr="001F5EEB">
        <w:rPr>
          <w:rFonts w:cs="Calibri"/>
          <w:color w:val="000000"/>
        </w:rPr>
        <w:t>ministrem właściwym do spraw żeglugi śródlądowej w zakresie dotyczącym śródlądowych dróg wodnych. Uzgodnienia zostaną dokonane w trybie art. 319 ustawy Prawo wodne. Zadaniem Wykonawcy  będzie w szczególności: przekazanie projektów II aPGW w wersji elektronicznej do właściwych jednostek, zebranie i analiza zgłoszonych uwag, rozpatrzenie uwag i uwzględnienie</w:t>
      </w:r>
      <w:r w:rsidR="00AC4503">
        <w:rPr>
          <w:rFonts w:cs="Calibri"/>
          <w:color w:val="000000"/>
        </w:rPr>
        <w:t xml:space="preserve"> ich</w:t>
      </w:r>
      <w:r w:rsidRPr="001F5EEB">
        <w:rPr>
          <w:rFonts w:cs="Calibri"/>
          <w:color w:val="000000"/>
        </w:rPr>
        <w:t>, wszędzie tam gdzie jest to zasadne, w treści dokumentów</w:t>
      </w:r>
      <w:r w:rsidR="00AC4503">
        <w:rPr>
          <w:rFonts w:cs="Calibri"/>
          <w:color w:val="000000"/>
        </w:rPr>
        <w:t xml:space="preserve"> po akceptacji sposobu ich uwzględnienia przez Zamawiającego</w:t>
      </w:r>
      <w:r w:rsidRPr="001F5EEB">
        <w:rPr>
          <w:rFonts w:cs="Calibri"/>
          <w:color w:val="000000"/>
        </w:rPr>
        <w:t xml:space="preserve">. W przypadku uwag nieuwzględnionych lub tylko częściowo uwzględnionych należy podać uzasadnienie i uzgodnić je z Zamawiającym. Wykonawca opracuje tabelę opisującą sposób rozpatrzenia każdej zgłoszonej uwagi (tzw. tabela rozbieżności). </w:t>
      </w:r>
    </w:p>
    <w:p w14:paraId="3D7DF1D3" w14:textId="4F62C35A" w:rsidR="001F5EEB" w:rsidRPr="001F5EEB" w:rsidRDefault="001F5EEB" w:rsidP="001F5EEB">
      <w:pPr>
        <w:pStyle w:val="Styl1punkty"/>
        <w:ind w:left="320"/>
        <w:rPr>
          <w:rFonts w:cs="Calibri"/>
          <w:color w:val="000000"/>
        </w:rPr>
      </w:pPr>
      <w:r w:rsidRPr="001F5EEB">
        <w:rPr>
          <w:rFonts w:cs="Calibri"/>
          <w:color w:val="000000"/>
        </w:rPr>
        <w:t xml:space="preserve">Po zasięgnięciu opinii właściwych wojewodów oraz uzgodnieniu projektów II aPGW z ministrem </w:t>
      </w:r>
      <w:r w:rsidR="00577F59" w:rsidRPr="001F5EEB">
        <w:rPr>
          <w:rFonts w:cs="Calibri"/>
          <w:color w:val="000000"/>
        </w:rPr>
        <w:t>właściwy</w:t>
      </w:r>
      <w:r w:rsidR="00577F59">
        <w:rPr>
          <w:rFonts w:cs="Calibri"/>
          <w:color w:val="000000"/>
        </w:rPr>
        <w:t>m</w:t>
      </w:r>
      <w:r w:rsidR="00577F59" w:rsidRPr="001F5EEB">
        <w:rPr>
          <w:rFonts w:cs="Calibri"/>
          <w:color w:val="000000"/>
        </w:rPr>
        <w:t xml:space="preserve"> </w:t>
      </w:r>
      <w:r w:rsidRPr="001F5EEB">
        <w:rPr>
          <w:rFonts w:cs="Calibri"/>
          <w:color w:val="000000"/>
        </w:rPr>
        <w:t>do spraw żeglugi śródlądowej</w:t>
      </w:r>
      <w:r w:rsidR="008B27C7">
        <w:rPr>
          <w:rFonts w:cs="Calibri"/>
          <w:color w:val="000000"/>
        </w:rPr>
        <w:t xml:space="preserve"> </w:t>
      </w:r>
      <w:r w:rsidR="008B27C7" w:rsidRPr="009B3213">
        <w:rPr>
          <w:rFonts w:cs="Calibri"/>
          <w:color w:val="000000"/>
        </w:rPr>
        <w:t>w zakresie dotyczącym śródlądowych dróg wodnych (art. 319 ust.2</w:t>
      </w:r>
      <w:r w:rsidR="00AC4503">
        <w:rPr>
          <w:rFonts w:cs="Calibri"/>
          <w:color w:val="000000"/>
        </w:rPr>
        <w:t xml:space="preserve"> ustawy Prawo wodne</w:t>
      </w:r>
      <w:r w:rsidR="008B27C7" w:rsidRPr="009B3213">
        <w:rPr>
          <w:rFonts w:cs="Calibri"/>
          <w:color w:val="000000"/>
        </w:rPr>
        <w:t>)</w:t>
      </w:r>
      <w:r w:rsidRPr="001F5EEB">
        <w:rPr>
          <w:rFonts w:cs="Calibri"/>
          <w:color w:val="000000"/>
        </w:rPr>
        <w:t xml:space="preserve">, Wykonawca opracuje ostateczną wersję dokumentów i przekaże Zamawiającemu do odbioru zgodnie z terminami i procedurami wynikającymi z umowy. </w:t>
      </w:r>
    </w:p>
    <w:p w14:paraId="60BD667A" w14:textId="77777777" w:rsidR="001F5EEB" w:rsidRPr="00B363AB" w:rsidRDefault="001F5EEB" w:rsidP="001F5EEB">
      <w:pPr>
        <w:spacing w:after="120"/>
        <w:rPr>
          <w:rFonts w:cs="Calibri"/>
          <w:b/>
          <w:color w:val="000000"/>
          <w:u w:val="single"/>
        </w:rPr>
      </w:pPr>
      <w:r w:rsidRPr="00B363AB">
        <w:rPr>
          <w:rFonts w:cs="Calibri"/>
          <w:b/>
          <w:color w:val="000000"/>
          <w:u w:val="single"/>
        </w:rPr>
        <w:t>ETAP II</w:t>
      </w:r>
      <w:r>
        <w:rPr>
          <w:rFonts w:cs="Calibri"/>
          <w:b/>
          <w:color w:val="000000"/>
          <w:u w:val="single"/>
        </w:rPr>
        <w:t>:</w:t>
      </w:r>
      <w:r w:rsidRPr="00B363AB">
        <w:rPr>
          <w:rFonts w:cs="Calibri"/>
          <w:b/>
          <w:color w:val="000000"/>
          <w:u w:val="single"/>
        </w:rPr>
        <w:t xml:space="preserve"> </w:t>
      </w:r>
      <w:r>
        <w:rPr>
          <w:rFonts w:cs="Calibri"/>
          <w:b/>
          <w:color w:val="000000"/>
          <w:u w:val="single"/>
        </w:rPr>
        <w:t>Konsultacje społeczne projektów II aPGW oraz przeprowadzenie strategicznej oceny oddziaływania na środowisko</w:t>
      </w:r>
    </w:p>
    <w:p w14:paraId="5D1146B6" w14:textId="77777777" w:rsidR="001F5EEB" w:rsidRDefault="001F5EEB" w:rsidP="001F5EEB">
      <w:pPr>
        <w:pStyle w:val="Styl1punkty"/>
        <w:numPr>
          <w:ilvl w:val="0"/>
          <w:numId w:val="0"/>
        </w:numPr>
        <w:ind w:left="360" w:hanging="360"/>
      </w:pPr>
      <w:r>
        <w:t>W ramach etapu II Wykonawca zrealizuje następujące zadania:</w:t>
      </w:r>
    </w:p>
    <w:p w14:paraId="7AD29FA3" w14:textId="351F0B97" w:rsidR="006311D3" w:rsidRDefault="006311D3" w:rsidP="006311D3">
      <w:pPr>
        <w:pStyle w:val="Styl1punkty"/>
        <w:ind w:left="320"/>
      </w:pPr>
      <w:r w:rsidRPr="006311D3">
        <w:t xml:space="preserve">Udział merytoryczny w procesie konsultacji społecznych. Wykonawca będzie ściśle współpracował z </w:t>
      </w:r>
      <w:r w:rsidR="00C76F55">
        <w:t>w</w:t>
      </w:r>
      <w:r w:rsidRPr="006311D3">
        <w:t>ykonawcą zadania pn.: „Przeprowadzenie działań informacyjno-promocyjnych projektu pn.: Opracowanie II aktualizacji programu wodno-środowiskowego kraju i planów gospodarowania wodami na obszarach dorzeczy wraz z dokumentami planistycznymi stanowiącymi podstawę do ich opracowania”. Zakres współpracy obejmuje m.in.:</w:t>
      </w:r>
    </w:p>
    <w:p w14:paraId="7D432327" w14:textId="77777777" w:rsidR="006311D3" w:rsidRDefault="006311D3" w:rsidP="002607F0">
      <w:pPr>
        <w:pStyle w:val="Styl1punkty"/>
        <w:numPr>
          <w:ilvl w:val="0"/>
          <w:numId w:val="8"/>
        </w:numPr>
        <w:ind w:left="1230" w:hanging="510"/>
      </w:pPr>
      <w:r w:rsidRPr="006311D3">
        <w:t>Opracowanie treści merytorycznej ulotki przygotowanej na potrzeby półrocznych konsultacji społecznych;</w:t>
      </w:r>
    </w:p>
    <w:p w14:paraId="13A88196" w14:textId="77777777" w:rsidR="006311D3" w:rsidRPr="000814C2" w:rsidRDefault="006311D3" w:rsidP="002607F0">
      <w:pPr>
        <w:pStyle w:val="Styl1punkty"/>
        <w:numPr>
          <w:ilvl w:val="0"/>
          <w:numId w:val="8"/>
        </w:numPr>
        <w:ind w:left="1230" w:hanging="510"/>
      </w:pPr>
      <w:r w:rsidRPr="000814C2">
        <w:t>Opracowanie treści merytorycznej do broszury informacyjnej na potrzeby półrocznych konsultacji społecznych;</w:t>
      </w:r>
    </w:p>
    <w:p w14:paraId="4280190E" w14:textId="4C013E9E" w:rsidR="006311D3" w:rsidRDefault="006311D3" w:rsidP="002607F0">
      <w:pPr>
        <w:pStyle w:val="Styl1punkty"/>
        <w:numPr>
          <w:ilvl w:val="0"/>
          <w:numId w:val="8"/>
        </w:numPr>
        <w:ind w:left="1230" w:hanging="510"/>
      </w:pPr>
      <w:r w:rsidRPr="000814C2">
        <w:t>Udział w spotkaniach konsultacyjnych lokalnych, który polegać będzie na obsłudze merytorycznej spotkań, np. przygotowanie i wygłoszenie prezentacji, odpowiedzi na pytania uczestników w trakcie spotkań, zebranie uwag zgłoszonych w t</w:t>
      </w:r>
      <w:r w:rsidR="00EA0B83">
        <w:t>r</w:t>
      </w:r>
      <w:r w:rsidR="00C316CC">
        <w:t>akcie spotkania i </w:t>
      </w:r>
      <w:r w:rsidRPr="000814C2">
        <w:t xml:space="preserve">ich rozpatrzenie i ewentualne uwzględnienie w dokumentach. Przewiduje się </w:t>
      </w:r>
      <w:r w:rsidR="00C76F55">
        <w:t xml:space="preserve">co najmniej </w:t>
      </w:r>
      <w:r w:rsidR="00BA5B7B" w:rsidRPr="000814C2">
        <w:t>15</w:t>
      </w:r>
      <w:r w:rsidR="00C76F55">
        <w:t xml:space="preserve"> </w:t>
      </w:r>
      <w:r w:rsidRPr="000814C2">
        <w:t>spotkań lokalnych.</w:t>
      </w:r>
    </w:p>
    <w:p w14:paraId="474E0574" w14:textId="77777777" w:rsidR="006311D3" w:rsidRDefault="006311D3" w:rsidP="002607F0">
      <w:pPr>
        <w:pStyle w:val="Styl1punkty"/>
        <w:numPr>
          <w:ilvl w:val="0"/>
          <w:numId w:val="8"/>
        </w:numPr>
        <w:ind w:left="1230" w:hanging="510"/>
      </w:pPr>
      <w:r w:rsidRPr="000814C2">
        <w:t>Udział w konferencjach prasowych lokalnych, w tym przedstawienie bieżących informacji o stanie realizacji projektu oraz współpraca przy przygotowaniu materiałów dla dziennikarzy. Przewiduje się 7 konferencji prasowych lokalnych;</w:t>
      </w:r>
    </w:p>
    <w:p w14:paraId="1734050A" w14:textId="541FDACF" w:rsidR="006311D3" w:rsidRDefault="006311D3" w:rsidP="002607F0">
      <w:pPr>
        <w:pStyle w:val="Styl1punkty"/>
        <w:numPr>
          <w:ilvl w:val="0"/>
          <w:numId w:val="8"/>
        </w:numPr>
        <w:ind w:left="1230" w:hanging="510"/>
      </w:pPr>
      <w:r w:rsidRPr="000814C2">
        <w:lastRenderedPageBreak/>
        <w:t>Udział w konferencji ogólnopolskiej, który polegać będzie na obsłudze merytorycznej konferencji, np. przygotowanie i wygłoszenie prezentacji, odpowiedzi na pytania uczestników w trakcie spotkań, zebranie uwag zgłoszonych w t</w:t>
      </w:r>
      <w:r w:rsidR="00EA0B83">
        <w:t>r</w:t>
      </w:r>
      <w:r w:rsidRPr="000814C2">
        <w:t>akcie spotkania i ich rozpatrzenie i ewentualne uwzględnienie w dokumentach. Konferencja stanowić będzie podsumowanie procesu konsultacji społecznych. Przewidywany termin: maj/czerwiec 2021 r.</w:t>
      </w:r>
    </w:p>
    <w:p w14:paraId="41B21890" w14:textId="77777777" w:rsidR="006311D3" w:rsidRDefault="006311D3" w:rsidP="002607F0">
      <w:pPr>
        <w:pStyle w:val="Styl1punkty"/>
        <w:numPr>
          <w:ilvl w:val="0"/>
          <w:numId w:val="8"/>
        </w:numPr>
        <w:ind w:left="1230" w:hanging="510"/>
      </w:pPr>
      <w:r w:rsidRPr="000814C2">
        <w:t>Udział w konferencji prasowej podsumowującej proces konsultacji II aPGW, w tym przedstawienie informacji o realizacji projektu oraz współpraca przy przygotowaniu materiałów dla dziennikarzy.</w:t>
      </w:r>
    </w:p>
    <w:p w14:paraId="68653489" w14:textId="77777777" w:rsidR="006311D3" w:rsidRDefault="006311D3" w:rsidP="002607F0">
      <w:pPr>
        <w:pStyle w:val="Styl1punkty"/>
        <w:numPr>
          <w:ilvl w:val="0"/>
          <w:numId w:val="8"/>
        </w:numPr>
        <w:ind w:left="1230" w:hanging="510"/>
      </w:pPr>
      <w:r w:rsidRPr="000814C2">
        <w:t>Współpraca przy przygotowaniu plakatu informacyjnego na potrzeby konsultacji społecznych;</w:t>
      </w:r>
    </w:p>
    <w:p w14:paraId="0D9D5F03" w14:textId="77777777" w:rsidR="006311D3" w:rsidRDefault="006311D3" w:rsidP="002607F0">
      <w:pPr>
        <w:pStyle w:val="Styl1punkty"/>
        <w:numPr>
          <w:ilvl w:val="0"/>
          <w:numId w:val="8"/>
        </w:numPr>
        <w:ind w:left="1230" w:hanging="510"/>
      </w:pPr>
      <w:r w:rsidRPr="000814C2">
        <w:t>Udział merytoryczny w działaniach Public Relations, polegający m.in. na przygotowaniu wkładu merytorycznego do informacji prasowych i odpowiedzi dla dziennikarzy, artykułów prasowych, informacji na strony internetowego Zamawiającego, wystąpień publicznych.</w:t>
      </w:r>
    </w:p>
    <w:p w14:paraId="6952B780" w14:textId="3ECB3BD2" w:rsidR="006311D3" w:rsidRDefault="006311D3" w:rsidP="002607F0">
      <w:pPr>
        <w:pStyle w:val="Styl1punkty"/>
        <w:numPr>
          <w:ilvl w:val="0"/>
          <w:numId w:val="8"/>
        </w:numPr>
        <w:ind w:left="1230" w:hanging="510"/>
      </w:pPr>
      <w:r w:rsidRPr="000814C2">
        <w:t>Udział w przygotowaniu filmu promocyjnego dotyczącego konsultacji społecznych projektów II aPGW, polegający m.in. na konsultacji meryt</w:t>
      </w:r>
      <w:r w:rsidR="00C316CC">
        <w:t>orycznej projektu scenariusza i </w:t>
      </w:r>
      <w:r w:rsidRPr="000814C2">
        <w:t>filmu;</w:t>
      </w:r>
    </w:p>
    <w:p w14:paraId="2556994C" w14:textId="77777777" w:rsidR="006311D3" w:rsidRDefault="006311D3" w:rsidP="002607F0">
      <w:pPr>
        <w:pStyle w:val="Styl1punkty"/>
        <w:numPr>
          <w:ilvl w:val="0"/>
          <w:numId w:val="8"/>
        </w:numPr>
        <w:ind w:left="1344" w:hanging="624"/>
      </w:pPr>
      <w:r w:rsidRPr="000814C2">
        <w:t>Udział w przygotowaniu instrukcji jak zgłaszać uwagi do projektów II aPGW w ramach półrocznych konsultacji społecznych, w tym udział w przygotowaniu ankiety do zbierania uwag/opinii do konsultowanych dokumentów;</w:t>
      </w:r>
    </w:p>
    <w:p w14:paraId="0643AC64" w14:textId="77777777" w:rsidR="006311D3" w:rsidRDefault="006311D3" w:rsidP="002607F0">
      <w:pPr>
        <w:pStyle w:val="Styl1punkty"/>
        <w:numPr>
          <w:ilvl w:val="0"/>
          <w:numId w:val="8"/>
        </w:numPr>
        <w:ind w:left="1344" w:hanging="624"/>
      </w:pPr>
      <w:r w:rsidRPr="000814C2">
        <w:t>Udział w przygotowaniu wersji niespecjalistycznej projektów II aPGW, polegający m.in. na sprawdzeniu poprawności merytorycznej dokumentów;</w:t>
      </w:r>
    </w:p>
    <w:p w14:paraId="6D391925" w14:textId="2D2DF5FB" w:rsidR="006311D3" w:rsidRDefault="006311D3" w:rsidP="006311D3">
      <w:pPr>
        <w:pStyle w:val="Styl1punkty"/>
        <w:numPr>
          <w:ilvl w:val="0"/>
          <w:numId w:val="0"/>
        </w:numPr>
        <w:spacing w:after="0"/>
      </w:pPr>
      <w:r>
        <w:t xml:space="preserve">Szczegółowe informacje dotyczące zakresu prac wykonawcy działań informacyjno-promocyjnych znajdują się na stronie: </w:t>
      </w:r>
    </w:p>
    <w:p w14:paraId="42868FB6" w14:textId="77777777" w:rsidR="006311D3" w:rsidRDefault="006311D3" w:rsidP="006311D3">
      <w:pPr>
        <w:pStyle w:val="Styl1punkty"/>
        <w:numPr>
          <w:ilvl w:val="0"/>
          <w:numId w:val="0"/>
        </w:numPr>
      </w:pPr>
      <w:r w:rsidRPr="006311D3">
        <w:t>http://www.kzgw.gov.pl/index.php/</w:t>
      </w:r>
      <w:r>
        <w:t xml:space="preserve">pl/zamowienia-publiczne/postepowania-przetargowe/327-dzialania-informacyjno-promocyjne-w-ramach-projektu-opracowanie-ii-aktualizacji-programu-wodno-srodowiskowego-kraju-apwsk-i-planow-gospodarowania-wodami-apgw-na-obszarach-dorzeczy-wraz-z-dokumentami-planistycznymi-stanowiacymi-podstawe-do-ich-opracowania. </w:t>
      </w:r>
    </w:p>
    <w:p w14:paraId="7935E2E3" w14:textId="712B6DDF" w:rsidR="006311D3" w:rsidRDefault="006311D3" w:rsidP="006311D3">
      <w:pPr>
        <w:pStyle w:val="Styl1punkty"/>
        <w:ind w:left="320"/>
      </w:pPr>
      <w:r w:rsidRPr="006311D3">
        <w:t xml:space="preserve">Przygotowanie zestawienia wszystkich uwag zgłoszonych do </w:t>
      </w:r>
      <w:r w:rsidR="00C316CC">
        <w:t xml:space="preserve">projektów II </w:t>
      </w:r>
      <w:proofErr w:type="spellStart"/>
      <w:r w:rsidR="00C316CC">
        <w:t>aPGW</w:t>
      </w:r>
      <w:proofErr w:type="spellEnd"/>
      <w:r w:rsidR="00C316CC">
        <w:t xml:space="preserve"> zgłoszonych w </w:t>
      </w:r>
      <w:r w:rsidRPr="006311D3">
        <w:t>ramach półrocznych konsultacji społecznych. Zestawienie powin</w:t>
      </w:r>
      <w:r w:rsidR="00C316CC">
        <w:t>no zawierać co najmniej: imię i </w:t>
      </w:r>
      <w:r w:rsidRPr="006311D3">
        <w:t>nazwisko zgłaszającego uwagę, instytucję, treść uwagi, propozycję sposobu rozpatrzenia uwag: uwaga nieuwzględniona/częściowo uwzględniona (należy podać uzasadnienie).</w:t>
      </w:r>
    </w:p>
    <w:p w14:paraId="4510A48C" w14:textId="20393D71" w:rsidR="00BA5B7B" w:rsidRPr="00791E6F" w:rsidRDefault="00791E6F" w:rsidP="00600F97">
      <w:pPr>
        <w:pStyle w:val="Styl1punkty"/>
        <w:ind w:left="320"/>
      </w:pPr>
      <w:r w:rsidRPr="00791E6F">
        <w:t xml:space="preserve">Przeprowadzenie strategicznej oceny oddziaływania na środowisko projektów II aPGW. W trakcie trwania półrocznych konsultacji społecznych, Wykonawca przeprowadzi proces strategicznej oceny oddziaływania na środowisko. </w:t>
      </w:r>
    </w:p>
    <w:p w14:paraId="0C2E7C9E" w14:textId="1AD315D6" w:rsidR="00DB16DC" w:rsidRDefault="00DB16DC" w:rsidP="00DB16DC">
      <w:pPr>
        <w:pStyle w:val="Styl1punkty"/>
        <w:ind w:left="320"/>
      </w:pPr>
      <w:r>
        <w:lastRenderedPageBreak/>
        <w:t xml:space="preserve">Przygotuje wersję projektów II aPGW po uwzględnieniu uwag i wniosków wniesionych w ramach półrocznych konsultacji społecznych oraz procedury strategicznej oceny oddziaływania na środowisko. Ostateczne wersje planów muszą być zgodne z zaakceptowanymi przez Zamawiającego założeniami metodycznymi </w:t>
      </w:r>
      <w:r w:rsidR="006A53A6">
        <w:t xml:space="preserve">opracowanymi w ramach Etapu I. </w:t>
      </w:r>
      <w:r>
        <w:t>Wersje projektów II aPGW po konsultacjach społecznych muszą zostać zaak</w:t>
      </w:r>
      <w:r w:rsidR="00C316CC">
        <w:t>ceptowane przez Zamawiającego i </w:t>
      </w:r>
      <w:r>
        <w:t>GR_PGW, a następnie zostaną przekazane do MGMiŻŚ w celu dalszego ich procedowania.</w:t>
      </w:r>
    </w:p>
    <w:p w14:paraId="4C536FE4" w14:textId="77777777" w:rsidR="00DB16DC" w:rsidRDefault="00DB16DC" w:rsidP="00DB16DC">
      <w:pPr>
        <w:pStyle w:val="Styl1punkty"/>
        <w:numPr>
          <w:ilvl w:val="0"/>
          <w:numId w:val="0"/>
        </w:numPr>
      </w:pPr>
      <w:r w:rsidRPr="00B363AB">
        <w:rPr>
          <w:rFonts w:cs="Calibri"/>
          <w:b/>
          <w:color w:val="000000"/>
          <w:u w:val="single"/>
        </w:rPr>
        <w:t>ETAP II</w:t>
      </w:r>
      <w:r>
        <w:rPr>
          <w:rFonts w:cs="Calibri"/>
          <w:b/>
          <w:color w:val="000000"/>
          <w:u w:val="single"/>
        </w:rPr>
        <w:t>I:</w:t>
      </w:r>
      <w:r w:rsidRPr="00B363AB">
        <w:rPr>
          <w:rFonts w:cs="Calibri"/>
          <w:b/>
          <w:color w:val="000000"/>
          <w:u w:val="single"/>
        </w:rPr>
        <w:t xml:space="preserve"> </w:t>
      </w:r>
      <w:r>
        <w:rPr>
          <w:rFonts w:cs="Calibri"/>
          <w:b/>
          <w:color w:val="000000"/>
          <w:u w:val="single"/>
        </w:rPr>
        <w:t xml:space="preserve">Rozporządzenia w </w:t>
      </w:r>
      <w:r w:rsidRPr="00795CE1">
        <w:rPr>
          <w:rFonts w:cs="Calibri"/>
          <w:b/>
          <w:color w:val="000000"/>
          <w:u w:val="single"/>
        </w:rPr>
        <w:t xml:space="preserve">sprawie </w:t>
      </w:r>
      <w:r w:rsidRPr="00795CE1">
        <w:rPr>
          <w:b/>
        </w:rPr>
        <w:t>II aPGW</w:t>
      </w:r>
    </w:p>
    <w:p w14:paraId="37F85126" w14:textId="5B62B85C" w:rsidR="00DB16DC" w:rsidRPr="00DB16DC" w:rsidRDefault="00A4020E" w:rsidP="00DB16DC">
      <w:pPr>
        <w:tabs>
          <w:tab w:val="num" w:pos="900"/>
        </w:tabs>
        <w:spacing w:after="120"/>
        <w:rPr>
          <w:rFonts w:cs="Calibri"/>
          <w:color w:val="000000"/>
        </w:rPr>
      </w:pPr>
      <w:r>
        <w:rPr>
          <w:rFonts w:cs="Calibri"/>
          <w:color w:val="000000"/>
        </w:rPr>
        <w:t>W ramach etapu II</w:t>
      </w:r>
      <w:r w:rsidR="00DB16DC">
        <w:rPr>
          <w:rFonts w:cs="Calibri"/>
          <w:color w:val="000000"/>
        </w:rPr>
        <w:t>I Wykonawca zrealizuje następujące zadania:</w:t>
      </w:r>
    </w:p>
    <w:p w14:paraId="4C4DF80B" w14:textId="77777777" w:rsidR="00DB16DC" w:rsidRDefault="00DB16DC" w:rsidP="00DB16DC">
      <w:pPr>
        <w:pStyle w:val="Styl1punkty"/>
        <w:ind w:left="320"/>
      </w:pPr>
      <w:r w:rsidRPr="00DB16DC">
        <w:t xml:space="preserve">Przygotuje projekty rozporządzeń dotyczących przyjęcia II aPGW wraz z załącznikami. </w:t>
      </w:r>
    </w:p>
    <w:p w14:paraId="6631A4A5" w14:textId="761EADD6" w:rsidR="00DB16DC" w:rsidRDefault="00DB16DC" w:rsidP="00DB16DC">
      <w:pPr>
        <w:pStyle w:val="Styl1punkty"/>
        <w:numPr>
          <w:ilvl w:val="0"/>
          <w:numId w:val="0"/>
        </w:numPr>
        <w:ind w:left="320"/>
      </w:pPr>
      <w:r w:rsidRPr="00DB16DC">
        <w:t xml:space="preserve">Wykonawca we współpracy z Zamawiającym oraz ministrem właściwym do spraw gospodarki wodnej opracuje projekty rozporządzeń dot. przyjęcia II aPGW wraz z opracowaniem </w:t>
      </w:r>
      <w:r w:rsidR="00120AA4">
        <w:t>o</w:t>
      </w:r>
      <w:r w:rsidR="00120AA4" w:rsidRPr="00DB16DC">
        <w:t xml:space="preserve">ceny </w:t>
      </w:r>
      <w:r w:rsidRPr="00DB16DC">
        <w:t>skutków regulacji (OSR) i uzasadnienia do każdego rozporządzenia. Rozporządzenia zostaną przygotowane dla każdego obszaru dorzecza i zostaną opracowane zgodnie z przepisami art. 318-319 ustawy - Prawo wodne zapisami ustawy z dnia 3 października 2008 r. o udostępnianiu informacji o środowisku i jego ochronie, udziale społeczeństwa w ochroni</w:t>
      </w:r>
      <w:r w:rsidR="00C316CC">
        <w:t>e środowiska oraz o </w:t>
      </w:r>
      <w:r w:rsidRPr="00DB16DC">
        <w:t xml:space="preserve">ocenach oddziaływania na środowisko oraz zgodnie z zasadami </w:t>
      </w:r>
      <w:r w:rsidR="00C316CC">
        <w:t>techniki prawodawczej zgodnie z </w:t>
      </w:r>
      <w:r w:rsidRPr="00DB16DC">
        <w:t>rozporządzeniem Prezesa Rady Ministrów z dnia 20 czerwca 2002 r. w sprawie „Zasad techniki prawodawczej” (Dz. U. z 2016 r. poz. 283). Wykonawca będzie zobowiązany do przygotowania rozporządzeń II aPGW wraz z załącznikami, tak aby były zgod</w:t>
      </w:r>
      <w:r w:rsidR="00C316CC">
        <w:t>ne z wymogami aktów prawnych, z </w:t>
      </w:r>
      <w:r w:rsidRPr="00DB16DC">
        <w:t>uwzględnieniem odpowiedniego układu stron i formatowania, form stylistyczno-gramatycznych oraz metryczek promulgacyjnych akty prawne.</w:t>
      </w:r>
      <w:r>
        <w:t xml:space="preserve"> </w:t>
      </w:r>
    </w:p>
    <w:p w14:paraId="1986484D" w14:textId="6E88B917" w:rsidR="00DB16DC" w:rsidRPr="00DB16DC" w:rsidRDefault="00DB16DC" w:rsidP="00DB16DC">
      <w:pPr>
        <w:pStyle w:val="Styl1punkty"/>
        <w:ind w:left="320"/>
      </w:pPr>
      <w:r w:rsidRPr="00DB16DC">
        <w:t xml:space="preserve">Przeanalizuje wszystkie zgłoszone uwagi w trakcie trwającej procedury legislacyjnej. Wykonawca będzie zobowiązany do przygotowania zestawienia zawierającego wszystkie otrzymane uwagi pochodzące z procesu legislacyjnego. W wykonanym zestawieniu Wykonawca odniesie się do uwag wraz z uzasadnieniem dla proponowanego przez siebie stanowiska (zarówno dla propozycji uwzględniania, częściowego uwzględniania lub całkowitego nieuwzględnienia uwagi). </w:t>
      </w:r>
      <w:r w:rsidR="00C92DB8" w:rsidRPr="007118FD">
        <w:t xml:space="preserve">Procedura ta może </w:t>
      </w:r>
      <w:r w:rsidR="00C92DB8" w:rsidRPr="007118FD">
        <w:rPr>
          <w:rFonts w:eastAsia="Times New Roman" w:cs="Calibri"/>
          <w:color w:val="000000"/>
          <w:lang w:eastAsia="zh-CN"/>
        </w:rPr>
        <w:t>wymagać prac polegających</w:t>
      </w:r>
      <w:r w:rsidR="00D31BB0" w:rsidRPr="007118FD">
        <w:rPr>
          <w:rFonts w:eastAsia="Times New Roman" w:cs="Calibri"/>
          <w:color w:val="000000"/>
          <w:lang w:eastAsia="zh-CN"/>
        </w:rPr>
        <w:t xml:space="preserve"> m.in. na stworzeniu dodatkowych dokumentów towarzyszących lub na uzupełnieniu II </w:t>
      </w:r>
      <w:proofErr w:type="spellStart"/>
      <w:r w:rsidR="00D31BB0" w:rsidRPr="007118FD">
        <w:rPr>
          <w:rFonts w:eastAsia="Times New Roman" w:cs="Calibri"/>
          <w:color w:val="000000"/>
          <w:lang w:eastAsia="zh-CN"/>
        </w:rPr>
        <w:t>aPGW</w:t>
      </w:r>
      <w:proofErr w:type="spellEnd"/>
      <w:r w:rsidR="00600F97">
        <w:rPr>
          <w:rFonts w:eastAsia="Times New Roman" w:cs="Calibri"/>
          <w:color w:val="000000"/>
          <w:lang w:eastAsia="zh-CN"/>
        </w:rPr>
        <w:t>.</w:t>
      </w:r>
    </w:p>
    <w:p w14:paraId="4F907D33" w14:textId="1F79CC28" w:rsidR="00DB16DC" w:rsidRDefault="00DB16DC" w:rsidP="00DB16DC">
      <w:pPr>
        <w:pStyle w:val="Styl1punkty"/>
        <w:ind w:left="320"/>
      </w:pPr>
      <w:r>
        <w:t>Dokona stosownych zmian w dokumentach</w:t>
      </w:r>
      <w:r w:rsidR="009A2D5F">
        <w:t xml:space="preserve"> </w:t>
      </w:r>
      <w:r>
        <w:t xml:space="preserve"> etapu I </w:t>
      </w:r>
      <w:proofErr w:type="spellStart"/>
      <w:r>
        <w:t>i</w:t>
      </w:r>
      <w:proofErr w:type="spellEnd"/>
      <w:r>
        <w:t xml:space="preserve"> II</w:t>
      </w:r>
      <w:r w:rsidR="009A2D5F">
        <w:t xml:space="preserve"> oraz dokumentach towarzyszących</w:t>
      </w:r>
      <w:r>
        <w:t>, zapewniając ich spójność z II aPGW.</w:t>
      </w:r>
    </w:p>
    <w:p w14:paraId="751FF573" w14:textId="77777777" w:rsidR="00DB16DC" w:rsidRDefault="00DB16DC" w:rsidP="00DB16DC">
      <w:pPr>
        <w:pStyle w:val="Styl1punkty"/>
        <w:ind w:left="320"/>
      </w:pPr>
      <w:r>
        <w:t xml:space="preserve">Na prośbę Zamawiającego, Wykonawca zapewni wsparcie merytoryczne Zamawiającemu oraz MGMiŻŚ w trakcie ewentualnych spotkań merytorycznych i uzgodnień związanych z przyjęciem rozporządzeń w sprawie II aPGW. </w:t>
      </w:r>
    </w:p>
    <w:p w14:paraId="66183A81" w14:textId="1E7E1EC6" w:rsidR="00DB16DC" w:rsidRDefault="00DB16DC" w:rsidP="00DB16DC">
      <w:pPr>
        <w:pStyle w:val="Styl1punkty"/>
        <w:ind w:left="320"/>
      </w:pPr>
      <w:r>
        <w:t xml:space="preserve">Opracuje </w:t>
      </w:r>
      <w:r w:rsidR="001763A0">
        <w:t xml:space="preserve">odrębnie </w:t>
      </w:r>
      <w:r>
        <w:t xml:space="preserve">dla każdego z </w:t>
      </w:r>
      <w:r w:rsidR="001763A0">
        <w:t xml:space="preserve">rozporządzeń </w:t>
      </w:r>
      <w:r>
        <w:t>II aPGW syntetyczne podsumowanie w języku polskim i angielskim. Podsumowanie zawierać będzie najważnie</w:t>
      </w:r>
      <w:r w:rsidR="00C316CC">
        <w:t>jsze informacje przedstawione w </w:t>
      </w:r>
      <w:r>
        <w:t>formie krótkich opisów, zestawień tabelarycznych, wykresów, statystyk w odniesieniu do każdego dorzecza, którego dotyczy plan.</w:t>
      </w:r>
    </w:p>
    <w:p w14:paraId="6467D38A" w14:textId="77777777" w:rsidR="00004BE3" w:rsidRPr="00AE69F2" w:rsidRDefault="00004BE3" w:rsidP="00004BE3">
      <w:pPr>
        <w:pStyle w:val="Styl1punkty"/>
        <w:numPr>
          <w:ilvl w:val="0"/>
          <w:numId w:val="0"/>
        </w:numPr>
        <w:rPr>
          <w:b/>
        </w:rPr>
      </w:pPr>
      <w:r w:rsidRPr="00AE69F2">
        <w:rPr>
          <w:b/>
        </w:rPr>
        <w:lastRenderedPageBreak/>
        <w:t xml:space="preserve">Etap IV: </w:t>
      </w:r>
      <w:r w:rsidR="00AE69F2" w:rsidRPr="00AE69F2">
        <w:rPr>
          <w:b/>
        </w:rPr>
        <w:t>Raport do KE oraz sporządzenie baz danych z II aPGW</w:t>
      </w:r>
    </w:p>
    <w:p w14:paraId="7E2B44B3" w14:textId="77777777" w:rsidR="00DB16DC" w:rsidRPr="00004BE3" w:rsidRDefault="00004BE3" w:rsidP="00004BE3">
      <w:pPr>
        <w:tabs>
          <w:tab w:val="num" w:pos="900"/>
        </w:tabs>
        <w:spacing w:after="120"/>
        <w:rPr>
          <w:rFonts w:cs="Calibri"/>
          <w:color w:val="000000"/>
        </w:rPr>
      </w:pPr>
      <w:r>
        <w:rPr>
          <w:rFonts w:cs="Calibri"/>
          <w:color w:val="000000"/>
        </w:rPr>
        <w:t>W ramach etapu IV Wykonawca zrealizuje następujące zadania:</w:t>
      </w:r>
    </w:p>
    <w:p w14:paraId="5CF7729F" w14:textId="58732F2C" w:rsidR="00004BE3" w:rsidRPr="00004BE3" w:rsidRDefault="00004BE3" w:rsidP="00004BE3">
      <w:pPr>
        <w:pStyle w:val="Styl1punkty"/>
        <w:ind w:left="320"/>
      </w:pPr>
      <w:r w:rsidRPr="00004BE3">
        <w:t xml:space="preserve">Przygotowanie, dla każdego projektu rozporządzenia, sprawozdania do Komisji Europejskiej, pod postacią wypełnionych formularzy raportowych. Praca ta zostanie wykonana zgodnie z wytycznymi zawartymi w dokumencie pn. WFD Reporting </w:t>
      </w:r>
      <w:proofErr w:type="spellStart"/>
      <w:r w:rsidRPr="00004BE3">
        <w:t>Guidance</w:t>
      </w:r>
      <w:proofErr w:type="spellEnd"/>
      <w:r w:rsidR="007118FD">
        <w:t xml:space="preserve"> lub jego aktualizacji</w:t>
      </w:r>
      <w:r w:rsidRPr="00004BE3">
        <w:t xml:space="preserve">, w języku angielskim. Komplet obowiązujących dokumentów z wytycznymi, schematów XSD, specyfikacji danych w UML, baz danych ACCESS, plików SHP oraz narzędzi do transformacji znajduje się pod adresem: </w:t>
      </w:r>
      <w:hyperlink r:id="rId8" w:history="1">
        <w:r w:rsidR="007118FD" w:rsidRPr="002B0D2B">
          <w:rPr>
            <w:rStyle w:val="Hipercze"/>
          </w:rPr>
          <w:t>http://cdr.eionet.europa.eu/help/WFD</w:t>
        </w:r>
      </w:hyperlink>
      <w:r w:rsidR="007118FD">
        <w:t xml:space="preserve"> (aktualna wersja linku może ulec zmianie; w przypadku jego zmiany, zostanie podana Wykonawcy aktualna wersja w trakcie realizacji umowy)</w:t>
      </w:r>
      <w:r w:rsidR="007118FD" w:rsidRPr="00004BE3">
        <w:t xml:space="preserve">. </w:t>
      </w:r>
    </w:p>
    <w:p w14:paraId="1BF537AC" w14:textId="77777777" w:rsidR="00004BE3" w:rsidRDefault="00004BE3" w:rsidP="00BB183E">
      <w:pPr>
        <w:pStyle w:val="Styl1punkty"/>
        <w:spacing w:after="0"/>
        <w:ind w:left="320"/>
      </w:pPr>
      <w:r w:rsidRPr="00004BE3">
        <w:t>Do raportu zostanie dołączony oddzielny dokument tekstowy (tzw. opis do raportu), w którym znajdą się m.in.:</w:t>
      </w:r>
    </w:p>
    <w:p w14:paraId="29658944" w14:textId="77777777" w:rsidR="00004BE3" w:rsidRDefault="00BB183E" w:rsidP="002607F0">
      <w:pPr>
        <w:pStyle w:val="Styl1punkty"/>
        <w:numPr>
          <w:ilvl w:val="0"/>
          <w:numId w:val="10"/>
        </w:numPr>
        <w:spacing w:after="0"/>
      </w:pPr>
      <w:r>
        <w:t>Informacje ogólne o raporcie</w:t>
      </w:r>
    </w:p>
    <w:p w14:paraId="374FCFFE" w14:textId="77777777" w:rsidR="00BB183E" w:rsidRDefault="00BB183E" w:rsidP="002607F0">
      <w:pPr>
        <w:pStyle w:val="Styl1punkty"/>
        <w:numPr>
          <w:ilvl w:val="0"/>
          <w:numId w:val="10"/>
        </w:numPr>
        <w:spacing w:after="0"/>
      </w:pPr>
      <w:r>
        <w:t>Informacje wymagane i przedstawione w raporcie</w:t>
      </w:r>
    </w:p>
    <w:p w14:paraId="0BEB1865" w14:textId="77777777" w:rsidR="00BB183E" w:rsidRDefault="00BB183E" w:rsidP="002607F0">
      <w:pPr>
        <w:pStyle w:val="Styl1punkty"/>
        <w:numPr>
          <w:ilvl w:val="0"/>
          <w:numId w:val="10"/>
        </w:numPr>
        <w:spacing w:after="0"/>
      </w:pPr>
      <w:r>
        <w:t>Informacje o źródle danych</w:t>
      </w:r>
    </w:p>
    <w:p w14:paraId="55139B5B" w14:textId="77777777" w:rsidR="00BB183E" w:rsidRDefault="00BB183E" w:rsidP="002607F0">
      <w:pPr>
        <w:pStyle w:val="Styl1punkty"/>
        <w:numPr>
          <w:ilvl w:val="0"/>
          <w:numId w:val="10"/>
        </w:numPr>
        <w:spacing w:after="0"/>
      </w:pPr>
      <w:r>
        <w:t>W</w:t>
      </w:r>
      <w:r w:rsidRPr="00BB183E">
        <w:t>yjaśnienia dotyczące stwierdzonych trudności przy wypełnianiu sprawozdania oraz przedstawienie sposobów ich uzupełnienia;</w:t>
      </w:r>
    </w:p>
    <w:p w14:paraId="6C3BC287" w14:textId="77777777" w:rsidR="00BB183E" w:rsidRPr="003C5BF7" w:rsidRDefault="00BB183E" w:rsidP="002607F0">
      <w:pPr>
        <w:pStyle w:val="Styl2podpunkty"/>
        <w:numPr>
          <w:ilvl w:val="0"/>
          <w:numId w:val="10"/>
        </w:numPr>
        <w:spacing w:after="0"/>
      </w:pPr>
      <w:r>
        <w:t>W</w:t>
      </w:r>
      <w:r w:rsidRPr="003C5BF7">
        <w:t>łasne rekomendacje dotyczące struktury sprawozdania, jego zakresu, sposobu prezentowania danych i informacji na potrzeby kolejnego cyklu planistycznego</w:t>
      </w:r>
      <w:r>
        <w:t>;</w:t>
      </w:r>
    </w:p>
    <w:p w14:paraId="4BA2B864" w14:textId="77777777" w:rsidR="00BB183E" w:rsidRDefault="00BB183E" w:rsidP="002607F0">
      <w:pPr>
        <w:pStyle w:val="Styl2podpunkty"/>
        <w:numPr>
          <w:ilvl w:val="0"/>
          <w:numId w:val="10"/>
        </w:numPr>
        <w:spacing w:after="0"/>
      </w:pPr>
      <w:r>
        <w:t>Inne niezbędne informacje zaproponowane przez Wykonawcę.</w:t>
      </w:r>
    </w:p>
    <w:p w14:paraId="64F59D9E" w14:textId="55E59DDA" w:rsidR="00BB183E" w:rsidRPr="00924473" w:rsidRDefault="00BB183E" w:rsidP="007902E2">
      <w:pPr>
        <w:pStyle w:val="Styl1punkty"/>
        <w:ind w:left="320"/>
      </w:pPr>
      <w:r>
        <w:t>Wykonanie</w:t>
      </w:r>
      <w:r w:rsidRPr="0037113A">
        <w:t xml:space="preserve"> </w:t>
      </w:r>
      <w:r w:rsidR="009578B6">
        <w:t xml:space="preserve">zestawu tabel w formacie </w:t>
      </w:r>
      <w:proofErr w:type="spellStart"/>
      <w:r w:rsidR="009578B6">
        <w:t>dBASE</w:t>
      </w:r>
      <w:proofErr w:type="spellEnd"/>
      <w:r w:rsidR="009578B6">
        <w:t xml:space="preserve">, zawierających informacje m.in. o celach środowiskowych JCW, charakterystykach JCW, ocenach stanu JCW, statusach JCW, wykazach wód oraz presjach, ryzykach i odstępstwach dotyczących JCW. Tabele będą możliwe do połączenia ze zbiorami referencyjnymi (wykazem JCWP, wykazem </w:t>
      </w:r>
      <w:proofErr w:type="spellStart"/>
      <w:r w:rsidR="009578B6">
        <w:t>JCWPd</w:t>
      </w:r>
      <w:proofErr w:type="spellEnd"/>
      <w:r w:rsidR="009578B6">
        <w:t xml:space="preserve">) na podstawie kluczy relacji (kodów JCWP i kodów </w:t>
      </w:r>
      <w:proofErr w:type="spellStart"/>
      <w:r w:rsidR="009578B6">
        <w:t>JCWPd</w:t>
      </w:r>
      <w:proofErr w:type="spellEnd"/>
      <w:r w:rsidR="009578B6">
        <w:t xml:space="preserve">). </w:t>
      </w:r>
    </w:p>
    <w:p w14:paraId="42BB6062" w14:textId="74BD4DEC" w:rsidR="00BB183E" w:rsidRDefault="00BB183E" w:rsidP="007902E2">
      <w:pPr>
        <w:pStyle w:val="Styl1punkty"/>
        <w:ind w:left="320"/>
      </w:pPr>
      <w:r>
        <w:t xml:space="preserve">Opracowanie kart charakterystyk dla każdej </w:t>
      </w:r>
      <w:proofErr w:type="spellStart"/>
      <w:r>
        <w:t>jcwp</w:t>
      </w:r>
      <w:proofErr w:type="spellEnd"/>
      <w:r>
        <w:t xml:space="preserve"> i </w:t>
      </w:r>
      <w:proofErr w:type="spellStart"/>
      <w:r w:rsidR="006B1DBD">
        <w:t>JCWPd</w:t>
      </w:r>
      <w:proofErr w:type="spellEnd"/>
      <w:r>
        <w:t>, które będą stanowić szczegółowe źródło informacji. Karty charakterystyk powinny zawierać co najmniej nastę</w:t>
      </w:r>
      <w:r w:rsidR="007902E2">
        <w:t>pujący zakres danych/informacji.</w:t>
      </w:r>
    </w:p>
    <w:p w14:paraId="0B7F53DB" w14:textId="5302CC1D" w:rsidR="00BB183E" w:rsidRDefault="000A626A" w:rsidP="000A626A">
      <w:pPr>
        <w:pStyle w:val="Styl1punkty"/>
        <w:ind w:left="320"/>
      </w:pPr>
      <w:r>
        <w:t>Wykonawca zapewni wsparcie merytoryczne i techniczne przy wprowadzeniu danych z II aPGW do systemu informacyjnego gospodarowaniu wodami SIGW.</w:t>
      </w:r>
    </w:p>
    <w:bookmarkEnd w:id="2"/>
    <w:bookmarkEnd w:id="5"/>
    <w:p w14:paraId="0AF72028" w14:textId="6B9FE098" w:rsidR="009B1B81" w:rsidRPr="009B1B81" w:rsidRDefault="009B1B81" w:rsidP="009B1B81">
      <w:pPr>
        <w:pStyle w:val="nagwkiopz"/>
        <w:ind w:left="709"/>
      </w:pPr>
      <w:r>
        <w:t>PRODUKTY ZAMÓWIENIA</w:t>
      </w:r>
    </w:p>
    <w:p w14:paraId="459950A9" w14:textId="77777777" w:rsidR="009B1B81" w:rsidRPr="009B1B81" w:rsidRDefault="009B1B81" w:rsidP="009B1B81">
      <w:pPr>
        <w:spacing w:after="0" w:line="240" w:lineRule="auto"/>
        <w:rPr>
          <w:rFonts w:asciiTheme="minorHAnsi" w:hAnsiTheme="minorHAnsi" w:cstheme="minorHAnsi"/>
        </w:rPr>
      </w:pPr>
      <w:r w:rsidRPr="009B1B81">
        <w:rPr>
          <w:rFonts w:asciiTheme="minorHAnsi" w:hAnsiTheme="minorHAnsi" w:cstheme="minorHAnsi"/>
        </w:rPr>
        <w:t xml:space="preserve">W ramach przedmiotowej Umowy, odbiorom podlegają następujące produkty: </w:t>
      </w:r>
    </w:p>
    <w:p w14:paraId="25B82ABA" w14:textId="77777777" w:rsidR="009B1B81" w:rsidRPr="009B1B81" w:rsidRDefault="009B1B81" w:rsidP="002607F0">
      <w:pPr>
        <w:numPr>
          <w:ilvl w:val="1"/>
          <w:numId w:val="13"/>
        </w:numPr>
        <w:spacing w:after="0" w:line="240" w:lineRule="auto"/>
        <w:ind w:left="709" w:hanging="360"/>
        <w:rPr>
          <w:rFonts w:asciiTheme="minorHAnsi" w:hAnsiTheme="minorHAnsi" w:cstheme="minorHAnsi"/>
        </w:rPr>
      </w:pPr>
      <w:r w:rsidRPr="009B1B81">
        <w:rPr>
          <w:rFonts w:asciiTheme="minorHAnsi" w:hAnsiTheme="minorHAnsi" w:cstheme="minorHAnsi"/>
        </w:rPr>
        <w:t xml:space="preserve">w etapie I:  </w:t>
      </w:r>
    </w:p>
    <w:p w14:paraId="254BF86A" w14:textId="77777777"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 xml:space="preserve">Metodyka opracowania projektów II </w:t>
      </w:r>
      <w:proofErr w:type="spellStart"/>
      <w:r w:rsidRPr="009B1B81">
        <w:rPr>
          <w:rFonts w:asciiTheme="minorHAnsi" w:hAnsiTheme="minorHAnsi" w:cstheme="minorHAnsi"/>
        </w:rPr>
        <w:t>aPGW</w:t>
      </w:r>
      <w:proofErr w:type="spellEnd"/>
      <w:r w:rsidRPr="009B1B81">
        <w:rPr>
          <w:rFonts w:asciiTheme="minorHAnsi" w:hAnsiTheme="minorHAnsi" w:cstheme="minorHAnsi"/>
        </w:rPr>
        <w:t xml:space="preserve">; </w:t>
      </w:r>
    </w:p>
    <w:p w14:paraId="6E85C1FD" w14:textId="3FB30CE7"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Wykaz inwestycji, o którym mowa w art. 323 ustawy Prawo wodne</w:t>
      </w:r>
      <w:r w:rsidR="005313F5">
        <w:rPr>
          <w:rFonts w:asciiTheme="minorHAnsi" w:hAnsiTheme="minorHAnsi" w:cstheme="minorHAnsi"/>
        </w:rPr>
        <w:t xml:space="preserve"> wraz z dokumentami towarzyszącymi</w:t>
      </w:r>
      <w:r w:rsidRPr="009B1B81">
        <w:rPr>
          <w:rFonts w:asciiTheme="minorHAnsi" w:hAnsiTheme="minorHAnsi" w:cstheme="minorHAnsi"/>
        </w:rPr>
        <w:t>;</w:t>
      </w:r>
    </w:p>
    <w:p w14:paraId="1C6FEBB1" w14:textId="77777777"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 xml:space="preserve">Wykaz wielkości emisji i stężeń substancji priorytetowych określonych w przepisach wydanych na podstawie art. 114 ustawy Prawo wodne oraz innych substancji </w:t>
      </w:r>
      <w:r w:rsidRPr="009B1B81">
        <w:rPr>
          <w:rFonts w:asciiTheme="minorHAnsi" w:hAnsiTheme="minorHAnsi" w:cstheme="minorHAnsi"/>
        </w:rPr>
        <w:lastRenderedPageBreak/>
        <w:t>powodujących zanieczyszczenie, dla których zostały określone środowiskowe normy jakości;</w:t>
      </w:r>
    </w:p>
    <w:p w14:paraId="0CB1A49E" w14:textId="35DCF4E4"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 xml:space="preserve">Metodyka opracowania zestawu działań dla wszystkich </w:t>
      </w:r>
      <w:proofErr w:type="spellStart"/>
      <w:r w:rsidRPr="009B1B81">
        <w:rPr>
          <w:rFonts w:asciiTheme="minorHAnsi" w:hAnsiTheme="minorHAnsi" w:cstheme="minorHAnsi"/>
        </w:rPr>
        <w:t>jcwp</w:t>
      </w:r>
      <w:proofErr w:type="spellEnd"/>
      <w:r w:rsidRPr="009B1B81">
        <w:rPr>
          <w:rFonts w:asciiTheme="minorHAnsi" w:hAnsiTheme="minorHAnsi" w:cstheme="minorHAnsi"/>
        </w:rPr>
        <w:t xml:space="preserve"> i </w:t>
      </w:r>
      <w:proofErr w:type="spellStart"/>
      <w:r w:rsidR="006B1DBD">
        <w:rPr>
          <w:rFonts w:asciiTheme="minorHAnsi" w:hAnsiTheme="minorHAnsi" w:cstheme="minorHAnsi"/>
        </w:rPr>
        <w:t>JCWPd</w:t>
      </w:r>
      <w:proofErr w:type="spellEnd"/>
      <w:r w:rsidR="00C316CC">
        <w:rPr>
          <w:rFonts w:asciiTheme="minorHAnsi" w:hAnsiTheme="minorHAnsi" w:cstheme="minorHAnsi"/>
        </w:rPr>
        <w:t xml:space="preserve"> z </w:t>
      </w:r>
      <w:r w:rsidRPr="009B1B81">
        <w:rPr>
          <w:rFonts w:asciiTheme="minorHAnsi" w:hAnsiTheme="minorHAnsi" w:cstheme="minorHAnsi"/>
        </w:rPr>
        <w:t>uwzględnieniem sposobów osiągania ustanawianych celów środowiskowych;</w:t>
      </w:r>
    </w:p>
    <w:p w14:paraId="16050789" w14:textId="6F386F3E"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 xml:space="preserve">Zestaw działań dla wszystkich </w:t>
      </w:r>
      <w:proofErr w:type="spellStart"/>
      <w:r w:rsidRPr="009B1B81">
        <w:rPr>
          <w:rFonts w:asciiTheme="minorHAnsi" w:hAnsiTheme="minorHAnsi" w:cstheme="minorHAnsi"/>
        </w:rPr>
        <w:t>jcwp</w:t>
      </w:r>
      <w:proofErr w:type="spellEnd"/>
      <w:r w:rsidRPr="009B1B81">
        <w:rPr>
          <w:rFonts w:asciiTheme="minorHAnsi" w:hAnsiTheme="minorHAnsi" w:cstheme="minorHAnsi"/>
        </w:rPr>
        <w:t xml:space="preserve"> i </w:t>
      </w:r>
      <w:proofErr w:type="spellStart"/>
      <w:r w:rsidR="006B1DBD">
        <w:rPr>
          <w:rFonts w:asciiTheme="minorHAnsi" w:hAnsiTheme="minorHAnsi" w:cstheme="minorHAnsi"/>
        </w:rPr>
        <w:t>JCWPd</w:t>
      </w:r>
      <w:proofErr w:type="spellEnd"/>
      <w:r w:rsidRPr="009B1B81">
        <w:rPr>
          <w:rFonts w:asciiTheme="minorHAnsi" w:hAnsiTheme="minorHAnsi" w:cstheme="minorHAnsi"/>
        </w:rPr>
        <w:t xml:space="preserve"> z uwzględnieniem sposobów osiągania ustanawianych celów środowiskowych</w:t>
      </w:r>
    </w:p>
    <w:p w14:paraId="59FEC6D8" w14:textId="77777777" w:rsidR="009B1B81" w:rsidRPr="009B1B81" w:rsidRDefault="009B1B81" w:rsidP="002607F0">
      <w:pPr>
        <w:numPr>
          <w:ilvl w:val="2"/>
          <w:numId w:val="13"/>
        </w:numPr>
        <w:spacing w:after="0" w:line="240" w:lineRule="auto"/>
        <w:ind w:left="993" w:hanging="180"/>
        <w:rPr>
          <w:rFonts w:asciiTheme="minorHAnsi" w:hAnsiTheme="minorHAnsi" w:cstheme="minorHAnsi"/>
        </w:rPr>
      </w:pPr>
      <w:r w:rsidRPr="009B1B81">
        <w:rPr>
          <w:rFonts w:asciiTheme="minorHAnsi" w:hAnsiTheme="minorHAnsi" w:cstheme="minorHAnsi"/>
        </w:rPr>
        <w:t xml:space="preserve">Projekty II </w:t>
      </w:r>
      <w:proofErr w:type="spellStart"/>
      <w:r w:rsidRPr="009B1B81">
        <w:rPr>
          <w:rFonts w:asciiTheme="minorHAnsi" w:hAnsiTheme="minorHAnsi" w:cstheme="minorHAnsi"/>
        </w:rPr>
        <w:t>aPGW</w:t>
      </w:r>
      <w:proofErr w:type="spellEnd"/>
      <w:r w:rsidRPr="009B1B81">
        <w:rPr>
          <w:rFonts w:asciiTheme="minorHAnsi" w:hAnsiTheme="minorHAnsi" w:cstheme="minorHAnsi"/>
        </w:rPr>
        <w:t xml:space="preserve"> do konsultacji społecznych; </w:t>
      </w:r>
    </w:p>
    <w:p w14:paraId="1E1F2F87" w14:textId="77777777" w:rsidR="009B1B81" w:rsidRPr="009B1B81" w:rsidRDefault="009B1B81" w:rsidP="002607F0">
      <w:pPr>
        <w:numPr>
          <w:ilvl w:val="1"/>
          <w:numId w:val="13"/>
        </w:numPr>
        <w:spacing w:after="0" w:line="240" w:lineRule="auto"/>
        <w:ind w:left="709" w:hanging="360"/>
        <w:rPr>
          <w:rFonts w:asciiTheme="minorHAnsi" w:hAnsiTheme="minorHAnsi" w:cstheme="minorHAnsi"/>
        </w:rPr>
      </w:pPr>
      <w:r w:rsidRPr="009B1B81">
        <w:rPr>
          <w:rFonts w:asciiTheme="minorHAnsi" w:hAnsiTheme="minorHAnsi" w:cstheme="minorHAnsi"/>
        </w:rPr>
        <w:t xml:space="preserve">w etapie II:  </w:t>
      </w:r>
    </w:p>
    <w:p w14:paraId="2D6F0677"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 xml:space="preserve">Projekty prognoz oddziaływania na środowisko II </w:t>
      </w:r>
      <w:proofErr w:type="spellStart"/>
      <w:r w:rsidRPr="009B1B81">
        <w:rPr>
          <w:rFonts w:asciiTheme="minorHAnsi" w:hAnsiTheme="minorHAnsi" w:cstheme="minorHAnsi"/>
        </w:rPr>
        <w:t>aPGW</w:t>
      </w:r>
      <w:proofErr w:type="spellEnd"/>
      <w:r w:rsidRPr="009B1B81">
        <w:rPr>
          <w:rFonts w:asciiTheme="minorHAnsi" w:hAnsiTheme="minorHAnsi" w:cstheme="minorHAnsi"/>
        </w:rPr>
        <w:t xml:space="preserve"> (9 projektów prognoz);</w:t>
      </w:r>
    </w:p>
    <w:p w14:paraId="1757D475"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 xml:space="preserve">Metodyka prowadzenia monitoringu skutków realizacji postanowień projektów II </w:t>
      </w:r>
      <w:proofErr w:type="spellStart"/>
      <w:r w:rsidRPr="009B1B81">
        <w:rPr>
          <w:rFonts w:asciiTheme="minorHAnsi" w:hAnsiTheme="minorHAnsi" w:cstheme="minorHAnsi"/>
        </w:rPr>
        <w:t>aPGW</w:t>
      </w:r>
      <w:proofErr w:type="spellEnd"/>
      <w:r w:rsidRPr="009B1B81">
        <w:rPr>
          <w:rFonts w:asciiTheme="minorHAnsi" w:hAnsiTheme="minorHAnsi" w:cstheme="minorHAnsi"/>
        </w:rPr>
        <w:t>;</w:t>
      </w:r>
    </w:p>
    <w:p w14:paraId="1F7E3C16" w14:textId="6944FE64"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Ostateczne wersje prognoz oddziaływania na środ</w:t>
      </w:r>
      <w:r w:rsidR="00C316CC">
        <w:rPr>
          <w:rFonts w:asciiTheme="minorHAnsi" w:hAnsiTheme="minorHAnsi" w:cstheme="minorHAnsi"/>
        </w:rPr>
        <w:t xml:space="preserve">owisko projektów II </w:t>
      </w:r>
      <w:proofErr w:type="spellStart"/>
      <w:r w:rsidR="00C316CC">
        <w:rPr>
          <w:rFonts w:asciiTheme="minorHAnsi" w:hAnsiTheme="minorHAnsi" w:cstheme="minorHAnsi"/>
        </w:rPr>
        <w:t>aPGW</w:t>
      </w:r>
      <w:proofErr w:type="spellEnd"/>
      <w:r w:rsidR="00C316CC">
        <w:rPr>
          <w:rFonts w:asciiTheme="minorHAnsi" w:hAnsiTheme="minorHAnsi" w:cstheme="minorHAnsi"/>
        </w:rPr>
        <w:t xml:space="preserve"> wraz z </w:t>
      </w:r>
      <w:r w:rsidRPr="009B1B81">
        <w:rPr>
          <w:rFonts w:asciiTheme="minorHAnsi" w:hAnsiTheme="minorHAnsi" w:cstheme="minorHAnsi"/>
        </w:rPr>
        <w:t>pisemnym  podsumowaniem strategicznej oceny oddziaływania na środowisko i  tabelą rozbieżności;</w:t>
      </w:r>
    </w:p>
    <w:p w14:paraId="48D3D895"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Syntezy do każdej prognozy oddziaływania na środowisko;</w:t>
      </w:r>
    </w:p>
    <w:p w14:paraId="022895A3"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 xml:space="preserve">Zestawienie wszystkich uwag zgłoszonych do projektów II </w:t>
      </w:r>
      <w:proofErr w:type="spellStart"/>
      <w:r w:rsidRPr="009B1B81">
        <w:rPr>
          <w:rFonts w:asciiTheme="minorHAnsi" w:hAnsiTheme="minorHAnsi" w:cstheme="minorHAnsi"/>
        </w:rPr>
        <w:t>aPGW</w:t>
      </w:r>
      <w:proofErr w:type="spellEnd"/>
      <w:r w:rsidRPr="009B1B81">
        <w:rPr>
          <w:rFonts w:asciiTheme="minorHAnsi" w:hAnsiTheme="minorHAnsi" w:cstheme="minorHAnsi"/>
        </w:rPr>
        <w:t xml:space="preserve"> zgłoszonych w ramach półrocznych konsultacji społecznych;</w:t>
      </w:r>
    </w:p>
    <w:p w14:paraId="6A0148F5"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 xml:space="preserve">Projekty II </w:t>
      </w:r>
      <w:proofErr w:type="spellStart"/>
      <w:r w:rsidRPr="009B1B81">
        <w:rPr>
          <w:rFonts w:asciiTheme="minorHAnsi" w:hAnsiTheme="minorHAnsi" w:cstheme="minorHAnsi"/>
        </w:rPr>
        <w:t>aPGW</w:t>
      </w:r>
      <w:proofErr w:type="spellEnd"/>
      <w:r w:rsidRPr="009B1B81">
        <w:rPr>
          <w:rFonts w:asciiTheme="minorHAnsi" w:hAnsiTheme="minorHAnsi" w:cstheme="minorHAnsi"/>
        </w:rPr>
        <w:t xml:space="preserve"> po SOOŚ i półrocznych konsultacjach społecznych;</w:t>
      </w:r>
    </w:p>
    <w:p w14:paraId="4E58C86E"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 xml:space="preserve">Suplement do metodyki opracowania II </w:t>
      </w:r>
      <w:proofErr w:type="spellStart"/>
      <w:r w:rsidRPr="009B1B81">
        <w:rPr>
          <w:rFonts w:asciiTheme="minorHAnsi" w:hAnsiTheme="minorHAnsi" w:cstheme="minorHAnsi"/>
        </w:rPr>
        <w:t>aPGW</w:t>
      </w:r>
      <w:proofErr w:type="spellEnd"/>
      <w:r w:rsidRPr="009B1B81">
        <w:rPr>
          <w:rFonts w:asciiTheme="minorHAnsi" w:hAnsiTheme="minorHAnsi" w:cstheme="minorHAnsi"/>
        </w:rPr>
        <w:t>;</w:t>
      </w:r>
    </w:p>
    <w:p w14:paraId="3F0E043F" w14:textId="77777777" w:rsidR="009B1B81" w:rsidRPr="009B1B81" w:rsidRDefault="009B1B81" w:rsidP="002607F0">
      <w:pPr>
        <w:numPr>
          <w:ilvl w:val="2"/>
          <w:numId w:val="14"/>
        </w:numPr>
        <w:spacing w:after="0" w:line="240" w:lineRule="auto"/>
        <w:ind w:left="993" w:hanging="284"/>
        <w:rPr>
          <w:rFonts w:asciiTheme="minorHAnsi" w:hAnsiTheme="minorHAnsi" w:cstheme="minorHAnsi"/>
        </w:rPr>
      </w:pPr>
      <w:r w:rsidRPr="009B1B81">
        <w:rPr>
          <w:rFonts w:asciiTheme="minorHAnsi" w:hAnsiTheme="minorHAnsi" w:cstheme="minorHAnsi"/>
        </w:rPr>
        <w:t>Suplement do metodyki zestawu działań podstawowych i uzupełniających,</w:t>
      </w:r>
    </w:p>
    <w:p w14:paraId="17C5A806" w14:textId="77777777" w:rsidR="009B1B81" w:rsidRPr="009B1B81" w:rsidRDefault="009B1B81" w:rsidP="002607F0">
      <w:pPr>
        <w:numPr>
          <w:ilvl w:val="1"/>
          <w:numId w:val="13"/>
        </w:numPr>
        <w:spacing w:after="0" w:line="240" w:lineRule="auto"/>
        <w:ind w:left="709" w:hanging="360"/>
        <w:rPr>
          <w:rFonts w:asciiTheme="minorHAnsi" w:hAnsiTheme="minorHAnsi" w:cstheme="minorHAnsi"/>
        </w:rPr>
      </w:pPr>
      <w:r w:rsidRPr="009B1B81">
        <w:rPr>
          <w:rFonts w:asciiTheme="minorHAnsi" w:hAnsiTheme="minorHAnsi" w:cstheme="minorHAnsi"/>
        </w:rPr>
        <w:t xml:space="preserve">w etapie III:  </w:t>
      </w:r>
    </w:p>
    <w:p w14:paraId="14CBBE6E" w14:textId="77777777" w:rsidR="009B1B81" w:rsidRPr="009B1B81" w:rsidRDefault="009B1B81" w:rsidP="002607F0">
      <w:pPr>
        <w:numPr>
          <w:ilvl w:val="0"/>
          <w:numId w:val="15"/>
        </w:numPr>
        <w:spacing w:after="0" w:line="240" w:lineRule="auto"/>
        <w:ind w:left="993" w:hanging="284"/>
        <w:jc w:val="left"/>
        <w:rPr>
          <w:rFonts w:asciiTheme="minorHAnsi" w:hAnsiTheme="minorHAnsi" w:cstheme="minorHAnsi"/>
        </w:rPr>
      </w:pPr>
      <w:r w:rsidRPr="009B1B81">
        <w:rPr>
          <w:rFonts w:asciiTheme="minorHAnsi" w:hAnsiTheme="minorHAnsi" w:cstheme="minorHAnsi"/>
        </w:rPr>
        <w:t xml:space="preserve">Ostateczne wersje II </w:t>
      </w:r>
      <w:proofErr w:type="spellStart"/>
      <w:r w:rsidRPr="009B1B81">
        <w:rPr>
          <w:rFonts w:asciiTheme="minorHAnsi" w:hAnsiTheme="minorHAnsi" w:cstheme="minorHAnsi"/>
        </w:rPr>
        <w:t>aPGW</w:t>
      </w:r>
      <w:proofErr w:type="spellEnd"/>
      <w:r w:rsidRPr="009B1B81">
        <w:rPr>
          <w:rFonts w:asciiTheme="minorHAnsi" w:hAnsiTheme="minorHAnsi" w:cstheme="minorHAnsi"/>
        </w:rPr>
        <w:t>;</w:t>
      </w:r>
    </w:p>
    <w:p w14:paraId="67554A0A" w14:textId="30E4556E" w:rsidR="009B1B81" w:rsidRPr="009B1B81" w:rsidRDefault="009B1B81" w:rsidP="002607F0">
      <w:pPr>
        <w:numPr>
          <w:ilvl w:val="0"/>
          <w:numId w:val="15"/>
        </w:numPr>
        <w:spacing w:after="0" w:line="240" w:lineRule="auto"/>
        <w:ind w:left="993" w:hanging="284"/>
        <w:jc w:val="left"/>
        <w:rPr>
          <w:rFonts w:asciiTheme="minorHAnsi" w:hAnsiTheme="minorHAnsi" w:cstheme="minorHAnsi"/>
        </w:rPr>
      </w:pPr>
      <w:r w:rsidRPr="009B1B81">
        <w:rPr>
          <w:rFonts w:asciiTheme="minorHAnsi" w:hAnsiTheme="minorHAnsi" w:cstheme="minorHAnsi"/>
        </w:rPr>
        <w:t xml:space="preserve">Zestawienie wszystkich uwag zgłoszonych w trakcie </w:t>
      </w:r>
      <w:r w:rsidR="00C316CC">
        <w:rPr>
          <w:rFonts w:asciiTheme="minorHAnsi" w:hAnsiTheme="minorHAnsi" w:cstheme="minorHAnsi"/>
        </w:rPr>
        <w:t>procedury legislacyjnej wraz ze </w:t>
      </w:r>
      <w:r w:rsidRPr="009B1B81">
        <w:rPr>
          <w:rFonts w:asciiTheme="minorHAnsi" w:hAnsiTheme="minorHAnsi" w:cstheme="minorHAnsi"/>
        </w:rPr>
        <w:t>sposobem rozpatrzenia;</w:t>
      </w:r>
    </w:p>
    <w:p w14:paraId="4E0657CB" w14:textId="77777777" w:rsidR="009B1B81" w:rsidRPr="009B1B81" w:rsidRDefault="009B1B81" w:rsidP="002607F0">
      <w:pPr>
        <w:numPr>
          <w:ilvl w:val="0"/>
          <w:numId w:val="15"/>
        </w:numPr>
        <w:spacing w:after="0" w:line="240" w:lineRule="auto"/>
        <w:ind w:left="993" w:hanging="284"/>
        <w:jc w:val="left"/>
        <w:rPr>
          <w:rFonts w:asciiTheme="minorHAnsi" w:hAnsiTheme="minorHAnsi" w:cstheme="minorHAnsi"/>
        </w:rPr>
      </w:pPr>
      <w:r w:rsidRPr="009B1B81">
        <w:rPr>
          <w:rFonts w:asciiTheme="minorHAnsi" w:hAnsiTheme="minorHAnsi" w:cstheme="minorHAnsi"/>
        </w:rPr>
        <w:t xml:space="preserve">Suplement do metodyki opracowania II </w:t>
      </w:r>
      <w:proofErr w:type="spellStart"/>
      <w:r w:rsidRPr="009B1B81">
        <w:rPr>
          <w:rFonts w:asciiTheme="minorHAnsi" w:hAnsiTheme="minorHAnsi" w:cstheme="minorHAnsi"/>
        </w:rPr>
        <w:t>aPGW</w:t>
      </w:r>
      <w:proofErr w:type="spellEnd"/>
      <w:r w:rsidRPr="009B1B81">
        <w:rPr>
          <w:rFonts w:asciiTheme="minorHAnsi" w:hAnsiTheme="minorHAnsi" w:cstheme="minorHAnsi"/>
        </w:rPr>
        <w:t>;</w:t>
      </w:r>
    </w:p>
    <w:p w14:paraId="6462F1BE" w14:textId="77777777" w:rsidR="009B1B81" w:rsidRPr="009B1B81" w:rsidRDefault="009B1B81" w:rsidP="002607F0">
      <w:pPr>
        <w:numPr>
          <w:ilvl w:val="0"/>
          <w:numId w:val="15"/>
        </w:numPr>
        <w:spacing w:after="0" w:line="240" w:lineRule="auto"/>
        <w:ind w:left="993" w:hanging="284"/>
        <w:jc w:val="left"/>
        <w:rPr>
          <w:rFonts w:asciiTheme="minorHAnsi" w:hAnsiTheme="minorHAnsi" w:cstheme="minorHAnsi"/>
        </w:rPr>
      </w:pPr>
      <w:r w:rsidRPr="009B1B81">
        <w:rPr>
          <w:rFonts w:asciiTheme="minorHAnsi" w:hAnsiTheme="minorHAnsi" w:cstheme="minorHAnsi"/>
        </w:rPr>
        <w:t>Suplement do metodyki zestawu działań podstawowych i uzupełniających,</w:t>
      </w:r>
    </w:p>
    <w:p w14:paraId="42E0EE8C" w14:textId="77777777" w:rsidR="009B1B81" w:rsidRPr="009B1B81" w:rsidRDefault="009B1B81" w:rsidP="002607F0">
      <w:pPr>
        <w:numPr>
          <w:ilvl w:val="1"/>
          <w:numId w:val="13"/>
        </w:numPr>
        <w:spacing w:after="0" w:line="240" w:lineRule="auto"/>
        <w:ind w:left="709" w:hanging="360"/>
        <w:rPr>
          <w:rFonts w:asciiTheme="minorHAnsi" w:hAnsiTheme="minorHAnsi" w:cstheme="minorHAnsi"/>
        </w:rPr>
      </w:pPr>
      <w:r w:rsidRPr="009B1B81">
        <w:rPr>
          <w:rFonts w:asciiTheme="minorHAnsi" w:hAnsiTheme="minorHAnsi" w:cstheme="minorHAnsi"/>
        </w:rPr>
        <w:t xml:space="preserve">w etapie IV:  </w:t>
      </w:r>
    </w:p>
    <w:p w14:paraId="4A2C599C" w14:textId="77777777" w:rsidR="009B1B81" w:rsidRPr="009B1B81" w:rsidRDefault="009B1B81" w:rsidP="002607F0">
      <w:pPr>
        <w:numPr>
          <w:ilvl w:val="0"/>
          <w:numId w:val="16"/>
        </w:numPr>
        <w:spacing w:after="0" w:line="240" w:lineRule="auto"/>
        <w:ind w:left="993" w:hanging="284"/>
        <w:jc w:val="left"/>
        <w:rPr>
          <w:rFonts w:asciiTheme="minorHAnsi" w:hAnsiTheme="minorHAnsi" w:cstheme="minorHAnsi"/>
        </w:rPr>
      </w:pPr>
      <w:r w:rsidRPr="009B1B81">
        <w:rPr>
          <w:rFonts w:asciiTheme="minorHAnsi" w:hAnsiTheme="minorHAnsi" w:cstheme="minorHAnsi"/>
        </w:rPr>
        <w:t>Raport do KE;</w:t>
      </w:r>
    </w:p>
    <w:p w14:paraId="22768CF7" w14:textId="77777777" w:rsidR="009B1B81" w:rsidRPr="009B1B81" w:rsidRDefault="009B1B81" w:rsidP="002607F0">
      <w:pPr>
        <w:numPr>
          <w:ilvl w:val="0"/>
          <w:numId w:val="16"/>
        </w:numPr>
        <w:spacing w:after="0" w:line="240" w:lineRule="auto"/>
        <w:ind w:left="993" w:hanging="284"/>
        <w:jc w:val="left"/>
        <w:rPr>
          <w:rFonts w:asciiTheme="minorHAnsi" w:hAnsiTheme="minorHAnsi" w:cstheme="minorHAnsi"/>
        </w:rPr>
      </w:pPr>
      <w:r w:rsidRPr="009B1B81">
        <w:rPr>
          <w:rFonts w:asciiTheme="minorHAnsi" w:hAnsiTheme="minorHAnsi" w:cstheme="minorHAnsi"/>
        </w:rPr>
        <w:t>Opis do raportu;</w:t>
      </w:r>
    </w:p>
    <w:p w14:paraId="390AAAA9" w14:textId="77777777" w:rsidR="009B1B81" w:rsidRPr="009B1B81" w:rsidRDefault="009B1B81" w:rsidP="002607F0">
      <w:pPr>
        <w:numPr>
          <w:ilvl w:val="0"/>
          <w:numId w:val="16"/>
        </w:numPr>
        <w:spacing w:after="0" w:line="240" w:lineRule="auto"/>
        <w:ind w:left="993" w:hanging="284"/>
        <w:jc w:val="left"/>
        <w:rPr>
          <w:rFonts w:asciiTheme="minorHAnsi" w:hAnsiTheme="minorHAnsi" w:cstheme="minorHAnsi"/>
        </w:rPr>
      </w:pPr>
      <w:r w:rsidRPr="009B1B81">
        <w:rPr>
          <w:rFonts w:asciiTheme="minorHAnsi" w:hAnsiTheme="minorHAnsi" w:cstheme="minorHAnsi"/>
        </w:rPr>
        <w:t>Baza danych przestrzennych;</w:t>
      </w:r>
    </w:p>
    <w:p w14:paraId="6941E172" w14:textId="77777777" w:rsidR="009B1B81" w:rsidRPr="009B1B81" w:rsidRDefault="009B1B81" w:rsidP="002607F0">
      <w:pPr>
        <w:numPr>
          <w:ilvl w:val="0"/>
          <w:numId w:val="16"/>
        </w:numPr>
        <w:spacing w:after="0" w:line="240" w:lineRule="auto"/>
        <w:ind w:left="993" w:hanging="284"/>
        <w:jc w:val="left"/>
        <w:rPr>
          <w:rFonts w:asciiTheme="minorHAnsi" w:hAnsiTheme="minorHAnsi" w:cstheme="minorHAnsi"/>
        </w:rPr>
      </w:pPr>
      <w:r w:rsidRPr="009B1B81">
        <w:rPr>
          <w:rFonts w:asciiTheme="minorHAnsi" w:hAnsiTheme="minorHAnsi" w:cstheme="minorHAnsi"/>
        </w:rPr>
        <w:t xml:space="preserve">Karty </w:t>
      </w:r>
      <w:proofErr w:type="spellStart"/>
      <w:r w:rsidRPr="009B1B81">
        <w:rPr>
          <w:rFonts w:asciiTheme="minorHAnsi" w:hAnsiTheme="minorHAnsi" w:cstheme="minorHAnsi"/>
        </w:rPr>
        <w:t>jcw</w:t>
      </w:r>
      <w:proofErr w:type="spellEnd"/>
      <w:r w:rsidRPr="009B1B81">
        <w:rPr>
          <w:rFonts w:asciiTheme="minorHAnsi" w:hAnsiTheme="minorHAnsi" w:cstheme="minorHAnsi"/>
        </w:rPr>
        <w:t>;</w:t>
      </w:r>
    </w:p>
    <w:p w14:paraId="1F72BA44" w14:textId="77777777" w:rsidR="009B1B81" w:rsidRPr="009B1B81" w:rsidRDefault="009B1B81" w:rsidP="002607F0">
      <w:pPr>
        <w:numPr>
          <w:ilvl w:val="0"/>
          <w:numId w:val="16"/>
        </w:numPr>
        <w:spacing w:after="0" w:line="240" w:lineRule="auto"/>
        <w:ind w:left="993" w:hanging="284"/>
        <w:jc w:val="left"/>
        <w:rPr>
          <w:rFonts w:asciiTheme="minorHAnsi" w:hAnsiTheme="minorHAnsi" w:cstheme="minorHAnsi"/>
        </w:rPr>
      </w:pPr>
      <w:r w:rsidRPr="009B1B81">
        <w:rPr>
          <w:rFonts w:asciiTheme="minorHAnsi" w:hAnsiTheme="minorHAnsi" w:cstheme="minorHAnsi"/>
        </w:rPr>
        <w:t>Ostateczny zestaw działań wraz z załącznikami.</w:t>
      </w:r>
    </w:p>
    <w:p w14:paraId="0F60931B" w14:textId="77777777" w:rsidR="009B1B81" w:rsidRPr="009B1B81" w:rsidRDefault="009B1B81" w:rsidP="009B1B81">
      <w:pPr>
        <w:pStyle w:val="nagwkiopz"/>
        <w:numPr>
          <w:ilvl w:val="0"/>
          <w:numId w:val="0"/>
        </w:numPr>
        <w:ind w:left="1080" w:hanging="720"/>
        <w:rPr>
          <w:rFonts w:asciiTheme="minorHAnsi" w:hAnsiTheme="minorHAnsi" w:cstheme="minorHAnsi"/>
        </w:rPr>
      </w:pPr>
    </w:p>
    <w:p w14:paraId="33E6FF07" w14:textId="77777777" w:rsidR="006C155B" w:rsidRDefault="006C155B" w:rsidP="006C155B">
      <w:pPr>
        <w:pStyle w:val="nagwkiopz"/>
        <w:ind w:left="709"/>
      </w:pPr>
      <w:r>
        <w:t>UWARUNKOWANIA REALIZACYJNE</w:t>
      </w:r>
    </w:p>
    <w:p w14:paraId="05E76A27" w14:textId="11CE4B31" w:rsidR="000A626A" w:rsidRPr="00B363AB" w:rsidRDefault="000A626A" w:rsidP="002607F0">
      <w:pPr>
        <w:widowControl w:val="0"/>
        <w:numPr>
          <w:ilvl w:val="0"/>
          <w:numId w:val="11"/>
        </w:numPr>
        <w:shd w:val="clear" w:color="auto" w:fill="FFFFFF"/>
        <w:tabs>
          <w:tab w:val="left" w:pos="341"/>
        </w:tabs>
        <w:autoSpaceDE w:val="0"/>
        <w:autoSpaceDN w:val="0"/>
        <w:adjustRightInd w:val="0"/>
        <w:spacing w:after="120"/>
        <w:ind w:left="227" w:hanging="340"/>
        <w:rPr>
          <w:rFonts w:cs="Calibri"/>
          <w:color w:val="000000"/>
        </w:rPr>
      </w:pPr>
      <w:r w:rsidRPr="00B363AB">
        <w:rPr>
          <w:rFonts w:cs="Calibri"/>
          <w:color w:val="000000"/>
        </w:rPr>
        <w:t xml:space="preserve">Wykonawca jest zobowiązany do uzgadniania proponowanych rozwiązań z Grupą roboczą </w:t>
      </w:r>
      <w:r w:rsidRPr="00B363AB">
        <w:rPr>
          <w:rFonts w:cs="Calibri"/>
          <w:color w:val="000000"/>
        </w:rPr>
        <w:br/>
        <w:t xml:space="preserve">ds. </w:t>
      </w:r>
      <w:r>
        <w:rPr>
          <w:rFonts w:cs="Calibri"/>
          <w:color w:val="000000"/>
        </w:rPr>
        <w:t>PGW</w:t>
      </w:r>
      <w:r w:rsidR="000E1131" w:rsidRPr="000E1131">
        <w:rPr>
          <w:rFonts w:cs="Calibri"/>
          <w:color w:val="000000"/>
        </w:rPr>
        <w:t xml:space="preserve"> </w:t>
      </w:r>
      <w:r w:rsidR="000E1131">
        <w:rPr>
          <w:rFonts w:cs="Calibri"/>
          <w:color w:val="000000"/>
        </w:rPr>
        <w:t>i uwzględniania</w:t>
      </w:r>
      <w:r w:rsidR="000E1131" w:rsidRPr="00B363AB">
        <w:rPr>
          <w:rFonts w:cs="Calibri"/>
          <w:color w:val="000000"/>
        </w:rPr>
        <w:t xml:space="preserve"> jej </w:t>
      </w:r>
      <w:r w:rsidR="002254AC">
        <w:rPr>
          <w:rFonts w:cs="Calibri"/>
          <w:color w:val="000000"/>
        </w:rPr>
        <w:t xml:space="preserve">wszystkich </w:t>
      </w:r>
      <w:r w:rsidR="000E1131" w:rsidRPr="00B363AB">
        <w:rPr>
          <w:rFonts w:cs="Calibri"/>
          <w:color w:val="000000"/>
        </w:rPr>
        <w:t>rekomendacji</w:t>
      </w:r>
      <w:r w:rsidR="00BA5B7B">
        <w:rPr>
          <w:rFonts w:cs="Calibri"/>
          <w:color w:val="000000"/>
        </w:rPr>
        <w:t>.</w:t>
      </w:r>
      <w:r w:rsidR="000E1131">
        <w:rPr>
          <w:rFonts w:cs="Calibri"/>
          <w:color w:val="000000"/>
        </w:rPr>
        <w:t xml:space="preserve"> </w:t>
      </w:r>
      <w:r w:rsidRPr="00B363AB">
        <w:rPr>
          <w:rFonts w:cs="Calibri"/>
          <w:color w:val="000000"/>
        </w:rPr>
        <w:t>Członkowie Grupy roboczej mogą również uczestniczyć w spotkaniach Wykonawcy i Zamawiającego dotyczących projektu. Kontakt Wykonawcy z ww. Grupą roboczą będzie odbywał się za pośrednictwem Zamawiającego, chyba że Zamawiający zdecyduje inaczej.</w:t>
      </w:r>
    </w:p>
    <w:p w14:paraId="19E0034E" w14:textId="38E14664" w:rsidR="000A626A" w:rsidRPr="00B363AB" w:rsidRDefault="000A626A" w:rsidP="002607F0">
      <w:pPr>
        <w:widowControl w:val="0"/>
        <w:numPr>
          <w:ilvl w:val="0"/>
          <w:numId w:val="11"/>
        </w:numPr>
        <w:shd w:val="clear" w:color="auto" w:fill="FFFFFF"/>
        <w:tabs>
          <w:tab w:val="left" w:pos="341"/>
        </w:tabs>
        <w:autoSpaceDE w:val="0"/>
        <w:autoSpaceDN w:val="0"/>
        <w:adjustRightInd w:val="0"/>
        <w:spacing w:after="120"/>
        <w:ind w:left="227" w:hanging="340"/>
        <w:rPr>
          <w:rFonts w:cs="Calibri"/>
          <w:color w:val="000000"/>
        </w:rPr>
      </w:pPr>
      <w:r w:rsidRPr="00B363AB">
        <w:rPr>
          <w:rFonts w:cs="Calibri"/>
          <w:color w:val="000000"/>
        </w:rPr>
        <w:t xml:space="preserve">Zakłada się, że spotkania projektowe z udziałem ww. Grupy roboczej będą odbywały </w:t>
      </w:r>
      <w:r w:rsidRPr="00B363AB">
        <w:rPr>
          <w:rFonts w:cs="Calibri"/>
          <w:color w:val="000000"/>
        </w:rPr>
        <w:br/>
        <w:t xml:space="preserve">się nie rzadziej niż raz na dwa miesiące. Ze strony Wykonawcy w każdym spotkaniu będzie brał udział Kierownik projektu oraz co najmniej 2 specjalistów (których wiedza i doświadczenie </w:t>
      </w:r>
      <w:r w:rsidRPr="00B363AB">
        <w:rPr>
          <w:rFonts w:cs="Calibri"/>
          <w:color w:val="000000"/>
        </w:rPr>
        <w:br/>
        <w:t xml:space="preserve">są adekwatne do omawianego na spotkaniu zakresu merytorycznego), przedstawionych w Wykazie </w:t>
      </w:r>
      <w:r w:rsidRPr="00B363AB">
        <w:rPr>
          <w:rFonts w:cs="Calibri"/>
          <w:color w:val="000000"/>
        </w:rPr>
        <w:lastRenderedPageBreak/>
        <w:t xml:space="preserve">osób wskazanych przez Wykonawcę do realizacji zamówienia. </w:t>
      </w:r>
    </w:p>
    <w:p w14:paraId="41EB9676" w14:textId="0DBB5C79" w:rsidR="000A626A" w:rsidRPr="00B363AB" w:rsidRDefault="000A626A" w:rsidP="002607F0">
      <w:pPr>
        <w:widowControl w:val="0"/>
        <w:numPr>
          <w:ilvl w:val="0"/>
          <w:numId w:val="11"/>
        </w:numPr>
        <w:shd w:val="clear" w:color="auto" w:fill="FFFFFF"/>
        <w:tabs>
          <w:tab w:val="left" w:pos="341"/>
        </w:tabs>
        <w:autoSpaceDE w:val="0"/>
        <w:autoSpaceDN w:val="0"/>
        <w:adjustRightInd w:val="0"/>
        <w:spacing w:after="120"/>
        <w:ind w:left="227" w:hanging="340"/>
        <w:rPr>
          <w:rFonts w:cs="Calibri"/>
          <w:color w:val="000000"/>
        </w:rPr>
      </w:pPr>
      <w:r w:rsidRPr="00B363AB">
        <w:rPr>
          <w:rFonts w:cs="Calibri"/>
          <w:color w:val="000000"/>
        </w:rPr>
        <w:t xml:space="preserve">Wykonawca zorganizuje </w:t>
      </w:r>
      <w:r>
        <w:rPr>
          <w:rFonts w:cs="Calibri"/>
          <w:color w:val="000000"/>
        </w:rPr>
        <w:t>5 spotkań projektowych</w:t>
      </w:r>
      <w:r w:rsidRPr="00B363AB">
        <w:rPr>
          <w:rFonts w:cs="Calibri"/>
          <w:color w:val="000000"/>
        </w:rPr>
        <w:t xml:space="preserve"> z udziałem ww. Grupy roboczej (ok. 30 osób), </w:t>
      </w:r>
      <w:r w:rsidRPr="00B363AB">
        <w:rPr>
          <w:rFonts w:cs="Calibri"/>
          <w:color w:val="000000"/>
        </w:rPr>
        <w:br/>
        <w:t xml:space="preserve">o których mowa w pkt </w:t>
      </w:r>
      <w:r w:rsidR="005E6864">
        <w:rPr>
          <w:rFonts w:cs="Calibri"/>
          <w:color w:val="000000"/>
        </w:rPr>
        <w:t>2</w:t>
      </w:r>
      <w:r w:rsidRPr="00B363AB">
        <w:rPr>
          <w:rFonts w:cs="Calibri"/>
          <w:color w:val="000000"/>
        </w:rPr>
        <w:t xml:space="preserve">, z zapewnieniem sali konferencyjnej oraz usługi </w:t>
      </w:r>
      <w:proofErr w:type="spellStart"/>
      <w:r w:rsidRPr="00B363AB">
        <w:rPr>
          <w:rFonts w:cs="Calibri"/>
          <w:color w:val="000000"/>
        </w:rPr>
        <w:t>kateringowej</w:t>
      </w:r>
      <w:proofErr w:type="spellEnd"/>
      <w:r w:rsidRPr="00B363AB">
        <w:rPr>
          <w:rFonts w:cs="Calibri"/>
          <w:color w:val="000000"/>
        </w:rPr>
        <w:t xml:space="preserve"> (lunch </w:t>
      </w:r>
      <w:r w:rsidRPr="00B363AB">
        <w:rPr>
          <w:rFonts w:cs="Calibri"/>
          <w:color w:val="000000"/>
        </w:rPr>
        <w:br/>
        <w:t xml:space="preserve">i poczęstunek kawowy). Spotkania odbędą się w Warszawie. Szczegóły dotyczące miejsca i terminu spotkań zostaną uzgodnione z Zamawiającym. </w:t>
      </w:r>
    </w:p>
    <w:p w14:paraId="123C8CFE" w14:textId="1E9C0999" w:rsidR="000A626A" w:rsidRPr="00B363AB" w:rsidRDefault="000A626A" w:rsidP="002607F0">
      <w:pPr>
        <w:widowControl w:val="0"/>
        <w:numPr>
          <w:ilvl w:val="0"/>
          <w:numId w:val="11"/>
        </w:numPr>
        <w:shd w:val="clear" w:color="auto" w:fill="FFFFFF"/>
        <w:tabs>
          <w:tab w:val="left" w:pos="341"/>
        </w:tabs>
        <w:autoSpaceDE w:val="0"/>
        <w:autoSpaceDN w:val="0"/>
        <w:adjustRightInd w:val="0"/>
        <w:spacing w:after="120"/>
        <w:ind w:left="227" w:hanging="340"/>
        <w:rPr>
          <w:rFonts w:cs="Calibri"/>
          <w:color w:val="000000"/>
        </w:rPr>
      </w:pPr>
      <w:r w:rsidRPr="00B363AB">
        <w:rPr>
          <w:rFonts w:cs="Calibri"/>
          <w:color w:val="000000"/>
        </w:rPr>
        <w:t xml:space="preserve">Wykonawca udzieli nieodpłatnej asysty na okres od dnia odbioru pracy </w:t>
      </w:r>
      <w:r w:rsidRPr="00EB7394">
        <w:rPr>
          <w:rFonts w:cs="Calibri"/>
          <w:color w:val="000000"/>
        </w:rPr>
        <w:t xml:space="preserve">do </w:t>
      </w:r>
      <w:r w:rsidRPr="005E6864">
        <w:rPr>
          <w:rFonts w:cs="Calibri"/>
          <w:color w:val="000000"/>
        </w:rPr>
        <w:t>dnia</w:t>
      </w:r>
      <w:r w:rsidR="005E6864" w:rsidRPr="005E6864">
        <w:rPr>
          <w:rFonts w:cs="Calibri"/>
          <w:color w:val="000000"/>
        </w:rPr>
        <w:t xml:space="preserve"> 31 marca 2026 r.</w:t>
      </w:r>
      <w:r w:rsidRPr="005E6864">
        <w:rPr>
          <w:rFonts w:cs="Calibri"/>
          <w:color w:val="000000"/>
        </w:rPr>
        <w:t>,</w:t>
      </w:r>
      <w:r w:rsidRPr="00B363AB">
        <w:rPr>
          <w:rFonts w:cs="Calibri"/>
          <w:color w:val="000000"/>
        </w:rPr>
        <w:t xml:space="preserve"> obejmującej w szczególności:</w:t>
      </w:r>
    </w:p>
    <w:p w14:paraId="37F99F42" w14:textId="32275E82" w:rsidR="000A626A" w:rsidRPr="00E54727" w:rsidRDefault="000A626A" w:rsidP="002607F0">
      <w:pPr>
        <w:numPr>
          <w:ilvl w:val="0"/>
          <w:numId w:val="12"/>
        </w:numPr>
        <w:spacing w:after="160"/>
        <w:ind w:left="794" w:hanging="510"/>
        <w:contextualSpacing/>
        <w:rPr>
          <w:rFonts w:eastAsia="Times New Roman" w:cs="Calibri"/>
          <w:color w:val="000000"/>
          <w:lang w:eastAsia="zh-CN"/>
        </w:rPr>
      </w:pPr>
      <w:r w:rsidRPr="00B363AB">
        <w:rPr>
          <w:rFonts w:cs="Calibri"/>
          <w:color w:val="000000"/>
        </w:rPr>
        <w:t xml:space="preserve">Wsparcie merytoryczne Zamawiającego przy </w:t>
      </w:r>
      <w:r>
        <w:rPr>
          <w:rFonts w:cs="Calibri"/>
          <w:color w:val="000000"/>
        </w:rPr>
        <w:t>ocenie II aPGW przez Komisję Europejską, w tym przygotowywanie propozycji odpowiedzi do KE (w terminie maksymalnie 5 dni roboczych od przekazania zapytania). Odpowiedzi zostaną przygotowane w języku polskim i angielskim</w:t>
      </w:r>
      <w:r w:rsidR="000E1131">
        <w:rPr>
          <w:rFonts w:cs="Calibri"/>
          <w:color w:val="000000"/>
        </w:rPr>
        <w:t>.</w:t>
      </w:r>
    </w:p>
    <w:p w14:paraId="7E5F7D46" w14:textId="232C2275" w:rsidR="000A626A" w:rsidRPr="00E54727" w:rsidRDefault="000E1131" w:rsidP="002607F0">
      <w:pPr>
        <w:numPr>
          <w:ilvl w:val="0"/>
          <w:numId w:val="12"/>
        </w:numPr>
        <w:spacing w:after="160"/>
        <w:ind w:left="794" w:hanging="510"/>
        <w:contextualSpacing/>
        <w:rPr>
          <w:rFonts w:eastAsia="Times New Roman" w:cs="Calibri"/>
          <w:color w:val="000000"/>
          <w:lang w:eastAsia="zh-CN"/>
        </w:rPr>
      </w:pPr>
      <w:r>
        <w:rPr>
          <w:rFonts w:eastAsia="Times New Roman" w:cs="Calibri"/>
          <w:color w:val="000000"/>
          <w:lang w:eastAsia="zh-CN"/>
        </w:rPr>
        <w:t xml:space="preserve">Opiniowanie </w:t>
      </w:r>
      <w:r w:rsidRPr="00E54727">
        <w:rPr>
          <w:rFonts w:eastAsia="Times New Roman" w:cs="Calibri"/>
          <w:color w:val="000000"/>
          <w:lang w:eastAsia="zh-CN"/>
        </w:rPr>
        <w:t>bądź weryfik</w:t>
      </w:r>
      <w:r>
        <w:rPr>
          <w:rFonts w:eastAsia="Times New Roman" w:cs="Calibri"/>
          <w:color w:val="000000"/>
          <w:lang w:eastAsia="zh-CN"/>
        </w:rPr>
        <w:t>acja</w:t>
      </w:r>
      <w:r w:rsidR="002254AC">
        <w:rPr>
          <w:rFonts w:eastAsia="Times New Roman" w:cs="Calibri"/>
          <w:color w:val="000000"/>
          <w:lang w:eastAsia="zh-CN"/>
        </w:rPr>
        <w:t xml:space="preserve"> </w:t>
      </w:r>
      <w:r>
        <w:rPr>
          <w:rFonts w:eastAsia="Times New Roman" w:cs="Calibri"/>
          <w:color w:val="000000"/>
          <w:lang w:eastAsia="zh-CN"/>
        </w:rPr>
        <w:t xml:space="preserve">dokumentów o charakterze legislacyjnym i strategicznym </w:t>
      </w:r>
      <w:r w:rsidRPr="00E54727">
        <w:rPr>
          <w:rFonts w:eastAsia="Times New Roman" w:cs="Calibri"/>
          <w:color w:val="000000"/>
          <w:lang w:eastAsia="zh-CN"/>
        </w:rPr>
        <w:t>odnosząc</w:t>
      </w:r>
      <w:r>
        <w:rPr>
          <w:rFonts w:eastAsia="Times New Roman" w:cs="Calibri"/>
          <w:color w:val="000000"/>
          <w:lang w:eastAsia="zh-CN"/>
        </w:rPr>
        <w:t>ych</w:t>
      </w:r>
      <w:r w:rsidRPr="00E54727">
        <w:rPr>
          <w:rFonts w:eastAsia="Times New Roman" w:cs="Calibri"/>
          <w:color w:val="000000"/>
          <w:lang w:eastAsia="zh-CN"/>
        </w:rPr>
        <w:t xml:space="preserve"> się do zadań zrealizowanych w ramach umowy (w terminie 5 dni roboczych od daty przekazania materiału)</w:t>
      </w:r>
      <w:r>
        <w:rPr>
          <w:rFonts w:eastAsia="Times New Roman" w:cs="Calibri"/>
          <w:color w:val="000000"/>
          <w:lang w:eastAsia="zh-CN"/>
        </w:rPr>
        <w:t>.</w:t>
      </w:r>
    </w:p>
    <w:p w14:paraId="3055D1BA" w14:textId="77777777" w:rsidR="000A626A" w:rsidRPr="00B363AB" w:rsidRDefault="000A626A" w:rsidP="002607F0">
      <w:pPr>
        <w:numPr>
          <w:ilvl w:val="0"/>
          <w:numId w:val="12"/>
        </w:numPr>
        <w:spacing w:after="160"/>
        <w:ind w:left="794" w:hanging="510"/>
        <w:rPr>
          <w:rFonts w:eastAsia="Times New Roman" w:cs="Calibri"/>
          <w:color w:val="000000"/>
          <w:lang w:eastAsia="zh-CN"/>
        </w:rPr>
      </w:pPr>
      <w:r w:rsidRPr="00B363AB">
        <w:rPr>
          <w:rFonts w:eastAsia="Times New Roman" w:cs="Calibri"/>
          <w:color w:val="000000"/>
          <w:lang w:eastAsia="zh-CN"/>
        </w:rPr>
        <w:t xml:space="preserve">Udzielanie wsparcia merytorycznego Zamawiającemu (na jego wniosek) w przypadku spotkań z Komisją Europejską dotyczących wyników pracy oraz przyjętych rozwiązań </w:t>
      </w:r>
      <w:r w:rsidRPr="00B363AB">
        <w:rPr>
          <w:rFonts w:eastAsia="Times New Roman" w:cs="Calibri"/>
          <w:color w:val="000000"/>
          <w:lang w:eastAsia="zh-CN"/>
        </w:rPr>
        <w:br/>
        <w:t xml:space="preserve">oraz na prośbę Zamawiającego udział w tych spotkaniach. Zakłada się nie więcej </w:t>
      </w:r>
      <w:r w:rsidRPr="00B363AB">
        <w:rPr>
          <w:rFonts w:cs="Calibri"/>
          <w:color w:val="000000"/>
        </w:rPr>
        <w:br/>
      </w:r>
      <w:r w:rsidRPr="00B363AB">
        <w:rPr>
          <w:rFonts w:eastAsia="Times New Roman" w:cs="Calibri"/>
          <w:color w:val="000000"/>
          <w:lang w:eastAsia="zh-CN"/>
        </w:rPr>
        <w:t>niż 4</w:t>
      </w:r>
      <w:r>
        <w:rPr>
          <w:rFonts w:eastAsia="Times New Roman" w:cs="Calibri"/>
          <w:color w:val="000000"/>
          <w:lang w:eastAsia="zh-CN"/>
        </w:rPr>
        <w:t xml:space="preserve"> </w:t>
      </w:r>
      <w:r w:rsidRPr="00B363AB">
        <w:rPr>
          <w:rFonts w:eastAsia="Times New Roman" w:cs="Calibri"/>
          <w:color w:val="000000"/>
          <w:lang w:eastAsia="zh-CN"/>
        </w:rPr>
        <w:t>spotkania odbywające się na obszarze Unii Europejskiej.</w:t>
      </w:r>
    </w:p>
    <w:p w14:paraId="2189D5C8" w14:textId="77777777" w:rsidR="000A626A" w:rsidRDefault="000A626A" w:rsidP="002607F0">
      <w:pPr>
        <w:numPr>
          <w:ilvl w:val="0"/>
          <w:numId w:val="11"/>
        </w:numPr>
        <w:spacing w:after="120"/>
        <w:ind w:left="283" w:hanging="340"/>
        <w:rPr>
          <w:rFonts w:cs="Calibri"/>
          <w:color w:val="000000"/>
        </w:rPr>
      </w:pPr>
      <w:r w:rsidRPr="00B363AB">
        <w:rPr>
          <w:rFonts w:cs="Calibri"/>
          <w:color w:val="000000"/>
        </w:rPr>
        <w:t xml:space="preserve">Wykonawca prowadzić będzie przez cały okres realizacji projektu rejestr </w:t>
      </w:r>
      <w:proofErr w:type="spellStart"/>
      <w:r w:rsidRPr="00B363AB">
        <w:rPr>
          <w:rFonts w:cs="Calibri"/>
          <w:color w:val="000000"/>
        </w:rPr>
        <w:t>ryzyk</w:t>
      </w:r>
      <w:proofErr w:type="spellEnd"/>
      <w:r w:rsidRPr="00B363AB">
        <w:rPr>
          <w:rFonts w:cs="Calibri"/>
          <w:color w:val="000000"/>
        </w:rPr>
        <w:t xml:space="preserve">, który będzie aktualizowany na bieżąco. Rejestr </w:t>
      </w:r>
      <w:proofErr w:type="spellStart"/>
      <w:r w:rsidRPr="00B363AB">
        <w:rPr>
          <w:rFonts w:cs="Calibri"/>
          <w:color w:val="000000"/>
        </w:rPr>
        <w:t>ryzyk</w:t>
      </w:r>
      <w:proofErr w:type="spellEnd"/>
      <w:r w:rsidRPr="00B363AB">
        <w:rPr>
          <w:rFonts w:cs="Calibri"/>
          <w:color w:val="000000"/>
        </w:rPr>
        <w:t xml:space="preserve"> wraz z aktualizacją będzie raportowany </w:t>
      </w:r>
      <w:r w:rsidRPr="00B363AB">
        <w:rPr>
          <w:rFonts w:cs="Calibri"/>
          <w:color w:val="000000"/>
        </w:rPr>
        <w:br/>
        <w:t>do Zamawiającego w ramach sprawozdań dwumiesięcznych.</w:t>
      </w:r>
    </w:p>
    <w:p w14:paraId="3FDB30CC" w14:textId="2D9F08FF" w:rsidR="000A626A" w:rsidRDefault="000A626A" w:rsidP="002607F0">
      <w:pPr>
        <w:numPr>
          <w:ilvl w:val="0"/>
          <w:numId w:val="11"/>
        </w:numPr>
        <w:spacing w:after="120"/>
        <w:ind w:left="283" w:hanging="340"/>
        <w:rPr>
          <w:rFonts w:cs="Calibri"/>
          <w:color w:val="000000"/>
        </w:rPr>
      </w:pPr>
      <w:r>
        <w:rPr>
          <w:rFonts w:cs="Calibri"/>
          <w:color w:val="000000"/>
        </w:rPr>
        <w:t xml:space="preserve">Wszystkie mapy przedstawione w II aPGW muszą zostać przekazane Zamawiającemu </w:t>
      </w:r>
      <w:r w:rsidR="00990D7B">
        <w:rPr>
          <w:rFonts w:cs="Calibri"/>
          <w:color w:val="000000"/>
        </w:rPr>
        <w:t xml:space="preserve">oddzielnie </w:t>
      </w:r>
      <w:r w:rsidR="00C316CC">
        <w:rPr>
          <w:rFonts w:cs="Calibri"/>
          <w:color w:val="000000"/>
        </w:rPr>
        <w:t>w </w:t>
      </w:r>
      <w:r>
        <w:rPr>
          <w:rFonts w:cs="Calibri"/>
          <w:color w:val="000000"/>
        </w:rPr>
        <w:t>formacie .</w:t>
      </w:r>
      <w:proofErr w:type="spellStart"/>
      <w:r>
        <w:rPr>
          <w:rFonts w:cs="Calibri"/>
          <w:color w:val="000000"/>
        </w:rPr>
        <w:t>mxd</w:t>
      </w:r>
      <w:proofErr w:type="spellEnd"/>
      <w:r w:rsidR="005C77C7">
        <w:rPr>
          <w:rFonts w:cs="Calibri"/>
          <w:color w:val="000000"/>
        </w:rPr>
        <w:t xml:space="preserve"> i </w:t>
      </w:r>
      <w:proofErr w:type="spellStart"/>
      <w:r w:rsidR="005C77C7">
        <w:rPr>
          <w:rFonts w:cs="Calibri"/>
          <w:color w:val="000000"/>
        </w:rPr>
        <w:t>qgs</w:t>
      </w:r>
      <w:proofErr w:type="spellEnd"/>
      <w:r>
        <w:rPr>
          <w:rFonts w:cs="Calibri"/>
          <w:color w:val="000000"/>
        </w:rPr>
        <w:t>.</w:t>
      </w:r>
      <w:r w:rsidRPr="00B363AB">
        <w:rPr>
          <w:rFonts w:cs="Calibri"/>
          <w:color w:val="000000"/>
        </w:rPr>
        <w:t xml:space="preserve"> </w:t>
      </w:r>
    </w:p>
    <w:p w14:paraId="0599947A" w14:textId="6C0A808A" w:rsidR="006C155B" w:rsidRDefault="006C155B" w:rsidP="005F4F43">
      <w:pPr>
        <w:pStyle w:val="nagwkiopz"/>
        <w:numPr>
          <w:ilvl w:val="0"/>
          <w:numId w:val="0"/>
        </w:numPr>
        <w:ind w:left="709"/>
      </w:pPr>
    </w:p>
    <w:p w14:paraId="55E4E30D" w14:textId="3EBC1C6F" w:rsidR="005F4F43" w:rsidRPr="00A30922" w:rsidRDefault="005F4F43" w:rsidP="005F4F43">
      <w:pPr>
        <w:pStyle w:val="nagwkiopz"/>
        <w:ind w:left="709"/>
      </w:pPr>
      <w:r w:rsidRPr="00A30922">
        <w:t>PLANOWANY TERMIN REALIZACJI:</w:t>
      </w:r>
    </w:p>
    <w:p w14:paraId="59F50E2D" w14:textId="210D01BE" w:rsidR="005E6864" w:rsidRDefault="005E6864" w:rsidP="00BB666D">
      <w:pPr>
        <w:spacing w:after="120"/>
        <w:ind w:left="567" w:hanging="567"/>
        <w:rPr>
          <w:rFonts w:cs="Calibri"/>
          <w:b/>
          <w:color w:val="000000"/>
        </w:rPr>
      </w:pPr>
      <w:r>
        <w:rPr>
          <w:rFonts w:cs="Calibri"/>
          <w:b/>
          <w:color w:val="000000"/>
        </w:rPr>
        <w:t xml:space="preserve">Rozpoczęcie prac: </w:t>
      </w:r>
      <w:r>
        <w:t>niezwłocznie po podpisaniu umowy</w:t>
      </w:r>
    </w:p>
    <w:p w14:paraId="4F173E87" w14:textId="77777777" w:rsidR="00BB666D" w:rsidRPr="00B363AB" w:rsidRDefault="00BB666D" w:rsidP="00BB666D">
      <w:pPr>
        <w:spacing w:after="120"/>
        <w:ind w:left="567" w:hanging="567"/>
        <w:rPr>
          <w:rFonts w:cs="Calibri"/>
          <w:color w:val="000000"/>
        </w:rPr>
      </w:pPr>
      <w:r w:rsidRPr="00B363AB">
        <w:rPr>
          <w:rFonts w:cs="Calibri"/>
          <w:b/>
          <w:color w:val="000000"/>
        </w:rPr>
        <w:t>Etap I:</w:t>
      </w:r>
      <w:r w:rsidRPr="00B363AB">
        <w:rPr>
          <w:rFonts w:cs="Calibri"/>
          <w:color w:val="000000"/>
        </w:rPr>
        <w:t xml:space="preserve"> </w:t>
      </w:r>
      <w:r>
        <w:rPr>
          <w:rFonts w:cs="Calibri"/>
          <w:color w:val="000000"/>
        </w:rPr>
        <w:t>do 16 listopada 2020 r.</w:t>
      </w:r>
    </w:p>
    <w:p w14:paraId="49C6ABAA" w14:textId="77777777" w:rsidR="00BB666D" w:rsidRDefault="00BB666D" w:rsidP="00BB666D">
      <w:pPr>
        <w:spacing w:after="120"/>
        <w:ind w:left="567" w:hanging="567"/>
        <w:rPr>
          <w:rFonts w:cs="Calibri"/>
          <w:color w:val="000000"/>
        </w:rPr>
      </w:pPr>
      <w:r w:rsidRPr="00B363AB">
        <w:rPr>
          <w:rFonts w:cs="Calibri"/>
          <w:b/>
          <w:color w:val="000000"/>
        </w:rPr>
        <w:t>Etap II:</w:t>
      </w:r>
      <w:r w:rsidRPr="00B363AB">
        <w:rPr>
          <w:rFonts w:cs="Calibri"/>
          <w:color w:val="000000"/>
        </w:rPr>
        <w:t xml:space="preserve"> </w:t>
      </w:r>
      <w:r>
        <w:rPr>
          <w:rFonts w:cs="Calibri"/>
          <w:color w:val="000000"/>
        </w:rPr>
        <w:t>do 20 lipca 2021 r.</w:t>
      </w:r>
    </w:p>
    <w:p w14:paraId="65B484CD" w14:textId="77777777" w:rsidR="00BB666D" w:rsidRDefault="00BB666D" w:rsidP="00BB666D">
      <w:pPr>
        <w:spacing w:after="120"/>
        <w:ind w:left="567" w:hanging="567"/>
        <w:rPr>
          <w:rFonts w:cs="Calibri"/>
          <w:color w:val="000000"/>
        </w:rPr>
      </w:pPr>
      <w:r>
        <w:rPr>
          <w:rFonts w:cs="Calibri"/>
          <w:b/>
          <w:color w:val="000000"/>
        </w:rPr>
        <w:t>Etap III:</w:t>
      </w:r>
      <w:r>
        <w:rPr>
          <w:rFonts w:cs="Calibri"/>
          <w:color w:val="000000"/>
        </w:rPr>
        <w:t xml:space="preserve"> do 22 grudnia 2021 r.</w:t>
      </w:r>
    </w:p>
    <w:p w14:paraId="5957A9D4" w14:textId="77777777" w:rsidR="00BB666D" w:rsidRPr="00B363AB" w:rsidRDefault="00BB666D" w:rsidP="00BB666D">
      <w:pPr>
        <w:spacing w:after="120"/>
        <w:ind w:left="567" w:hanging="567"/>
        <w:rPr>
          <w:rFonts w:cs="Calibri"/>
          <w:color w:val="000000"/>
        </w:rPr>
      </w:pPr>
      <w:r>
        <w:rPr>
          <w:rFonts w:cs="Calibri"/>
          <w:b/>
          <w:color w:val="000000"/>
        </w:rPr>
        <w:t>Etap IV:</w:t>
      </w:r>
      <w:r>
        <w:rPr>
          <w:rFonts w:cs="Calibri"/>
          <w:color w:val="000000"/>
        </w:rPr>
        <w:t xml:space="preserve"> do 31 marca 2022 r.</w:t>
      </w:r>
    </w:p>
    <w:p w14:paraId="131AFF70" w14:textId="77777777" w:rsidR="00BB666D" w:rsidRPr="006C155B" w:rsidRDefault="00BB666D" w:rsidP="00BB666D">
      <w:pPr>
        <w:pStyle w:val="nagwkiopz"/>
        <w:numPr>
          <w:ilvl w:val="0"/>
          <w:numId w:val="0"/>
        </w:numPr>
        <w:ind w:left="1080" w:hanging="720"/>
      </w:pPr>
    </w:p>
    <w:sectPr w:rsidR="00BB666D" w:rsidRPr="006C155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848FC" w14:textId="77777777" w:rsidR="00AE199E" w:rsidRDefault="00AE199E" w:rsidP="00AE69F2">
      <w:pPr>
        <w:spacing w:after="0" w:line="240" w:lineRule="auto"/>
      </w:pPr>
      <w:r>
        <w:separator/>
      </w:r>
    </w:p>
  </w:endnote>
  <w:endnote w:type="continuationSeparator" w:id="0">
    <w:p w14:paraId="1FF9F979" w14:textId="77777777" w:rsidR="00AE199E" w:rsidRDefault="00AE199E" w:rsidP="00A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559856"/>
      <w:docPartObj>
        <w:docPartGallery w:val="Page Numbers (Bottom of Page)"/>
        <w:docPartUnique/>
      </w:docPartObj>
    </w:sdtPr>
    <w:sdtEndPr/>
    <w:sdtContent>
      <w:p w14:paraId="7C1B2384" w14:textId="6A6F37AC" w:rsidR="00AE199E" w:rsidRDefault="00AE199E">
        <w:pPr>
          <w:pStyle w:val="Stopka"/>
          <w:jc w:val="center"/>
        </w:pPr>
        <w:r>
          <w:fldChar w:fldCharType="begin"/>
        </w:r>
        <w:r>
          <w:instrText>PAGE   \* MERGEFORMAT</w:instrText>
        </w:r>
        <w:r>
          <w:fldChar w:fldCharType="separate"/>
        </w:r>
        <w:r w:rsidR="00C20D52">
          <w:rPr>
            <w:noProof/>
          </w:rPr>
          <w:t>12</w:t>
        </w:r>
        <w:r>
          <w:fldChar w:fldCharType="end"/>
        </w:r>
      </w:p>
    </w:sdtContent>
  </w:sdt>
  <w:p w14:paraId="14E93E84" w14:textId="77777777" w:rsidR="00AE199E" w:rsidRDefault="00AE19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C386" w14:textId="77777777" w:rsidR="00AE199E" w:rsidRDefault="00AE199E" w:rsidP="00AE69F2">
      <w:pPr>
        <w:spacing w:after="0" w:line="240" w:lineRule="auto"/>
      </w:pPr>
      <w:r>
        <w:separator/>
      </w:r>
    </w:p>
  </w:footnote>
  <w:footnote w:type="continuationSeparator" w:id="0">
    <w:p w14:paraId="25848C22" w14:textId="77777777" w:rsidR="00AE199E" w:rsidRDefault="00AE199E" w:rsidP="00AE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AEF66" w14:textId="77777777" w:rsidR="00AE199E" w:rsidRPr="00C40277" w:rsidRDefault="00AE199E" w:rsidP="00AE69F2">
    <w:pPr>
      <w:pBdr>
        <w:bottom w:val="single" w:sz="4" w:space="1" w:color="auto"/>
      </w:pBdr>
      <w:tabs>
        <w:tab w:val="center" w:pos="4536"/>
        <w:tab w:val="right" w:pos="9072"/>
      </w:tabs>
      <w:spacing w:after="0"/>
      <w:rPr>
        <w:rFonts w:ascii="Times New Roman" w:eastAsia="Times New Roman" w:hAnsi="Times New Roman"/>
        <w:b/>
        <w:bCs/>
        <w:smallCaps/>
        <w:color w:val="333399"/>
        <w:sz w:val="16"/>
      </w:rPr>
    </w:pPr>
    <w:r w:rsidRPr="00C40277">
      <w:rPr>
        <w:rFonts w:ascii="Times New Roman" w:eastAsia="Times New Roman" w:hAnsi="Times New Roman"/>
        <w:b/>
        <w:smallCaps/>
        <w:color w:val="333399"/>
        <w:sz w:val="16"/>
        <w:szCs w:val="16"/>
      </w:rPr>
      <w:t>Oznaczenie sprawy</w:t>
    </w:r>
    <w:r w:rsidRPr="00C40277">
      <w:rPr>
        <w:rFonts w:ascii="Times New Roman" w:eastAsia="Times New Roman" w:hAnsi="Times New Roman"/>
        <w:b/>
        <w:color w:val="333399"/>
        <w:sz w:val="16"/>
        <w:szCs w:val="16"/>
      </w:rPr>
      <w:t xml:space="preserve">: </w:t>
    </w:r>
    <w:r>
      <w:rPr>
        <w:rFonts w:ascii="Times New Roman" w:eastAsia="Times New Roman" w:hAnsi="Times New Roman"/>
        <w:b/>
        <w:color w:val="333399"/>
        <w:sz w:val="16"/>
        <w:szCs w:val="16"/>
      </w:rPr>
      <w:t>.</w:t>
    </w:r>
    <w:r w:rsidRPr="00C40277">
      <w:rPr>
        <w:rFonts w:ascii="Times New Roman" w:eastAsia="Times New Roman" w:hAnsi="Times New Roman"/>
        <w:b/>
        <w:bCs/>
        <w:smallCaps/>
        <w:color w:val="333399"/>
        <w:sz w:val="16"/>
      </w:rPr>
      <w:t xml:space="preserve"> </w:t>
    </w:r>
    <w:r w:rsidRPr="00C40277">
      <w:rPr>
        <w:rFonts w:ascii="Times New Roman" w:eastAsia="Times New Roman" w:hAnsi="Times New Roman"/>
        <w:b/>
        <w:bCs/>
        <w:smallCaps/>
        <w:color w:val="333399"/>
        <w:sz w:val="16"/>
      </w:rPr>
      <w:tab/>
    </w:r>
    <w:r>
      <w:rPr>
        <w:rFonts w:ascii="Times New Roman" w:eastAsia="Times New Roman" w:hAnsi="Times New Roman"/>
        <w:b/>
        <w:bCs/>
        <w:smallCaps/>
        <w:color w:val="333399"/>
        <w:sz w:val="16"/>
      </w:rPr>
      <w:tab/>
    </w:r>
  </w:p>
  <w:p w14:paraId="6ADF0973" w14:textId="77777777" w:rsidR="00AE199E" w:rsidRPr="00C40277" w:rsidRDefault="00AE199E" w:rsidP="00AE69F2">
    <w:pPr>
      <w:tabs>
        <w:tab w:val="center" w:pos="4536"/>
        <w:tab w:val="right" w:pos="9072"/>
      </w:tabs>
      <w:spacing w:after="0" w:line="240" w:lineRule="auto"/>
      <w:rPr>
        <w:rFonts w:ascii="Times New Roman" w:hAnsi="Times New Roman"/>
        <w:sz w:val="24"/>
      </w:rPr>
    </w:pPr>
    <w:r w:rsidRPr="00C40277">
      <w:rPr>
        <w:rFonts w:ascii="Times New Roman" w:hAnsi="Times New Roman"/>
        <w:noProof/>
        <w:sz w:val="24"/>
        <w:lang w:eastAsia="pl-PL"/>
      </w:rPr>
      <w:drawing>
        <wp:inline distT="0" distB="0" distL="0" distR="0" wp14:anchorId="248E4CCB" wp14:editId="0224DB4C">
          <wp:extent cx="5297805"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805" cy="609600"/>
                  </a:xfrm>
                  <a:prstGeom prst="rect">
                    <a:avLst/>
                  </a:prstGeom>
                  <a:noFill/>
                </pic:spPr>
              </pic:pic>
            </a:graphicData>
          </a:graphic>
        </wp:inline>
      </w:drawing>
    </w:r>
  </w:p>
  <w:p w14:paraId="097A621D" w14:textId="77777777" w:rsidR="00AE199E" w:rsidRPr="00C40277" w:rsidRDefault="00AE199E" w:rsidP="00AE69F2">
    <w:pPr>
      <w:tabs>
        <w:tab w:val="center" w:pos="142"/>
        <w:tab w:val="right" w:pos="9072"/>
      </w:tabs>
      <w:spacing w:after="40" w:line="240" w:lineRule="auto"/>
      <w:ind w:left="142"/>
      <w:rPr>
        <w:rFonts w:eastAsia="Times New Roman"/>
        <w:i/>
        <w:iCs/>
        <w:sz w:val="16"/>
      </w:rPr>
    </w:pPr>
    <w:r w:rsidRPr="00C40277">
      <w:rPr>
        <w:rFonts w:eastAsia="Times New Roman"/>
        <w:i/>
        <w:iCs/>
        <w:sz w:val="16"/>
        <w:szCs w:val="24"/>
        <w:lang w:eastAsia="zh-CN"/>
      </w:rPr>
      <w:t>Projekt: Opracowanie II aktualizacji planów gospodarowania wodami na obszarach dorzeczy wraz z dokumentami planistycznymi stanowiącymi podstawę do ich opracowania</w:t>
    </w:r>
  </w:p>
  <w:p w14:paraId="3712A437" w14:textId="77777777" w:rsidR="00AE199E" w:rsidRPr="00144354" w:rsidRDefault="00AE199E" w:rsidP="00AE69F2">
    <w:pPr>
      <w:tabs>
        <w:tab w:val="center" w:pos="4536"/>
        <w:tab w:val="right" w:pos="9072"/>
      </w:tabs>
      <w:spacing w:after="0"/>
      <w:ind w:left="142"/>
      <w:rPr>
        <w:rFonts w:eastAsia="Times New Roman"/>
        <w:i/>
        <w:sz w:val="16"/>
        <w:szCs w:val="24"/>
        <w:lang w:eastAsia="zh-CN"/>
      </w:rPr>
    </w:pPr>
    <w:r w:rsidRPr="00C40277">
      <w:rPr>
        <w:rFonts w:eastAsia="Times New Roman"/>
        <w:i/>
        <w:sz w:val="16"/>
        <w:szCs w:val="24"/>
        <w:lang w:eastAsia="zh-CN"/>
      </w:rPr>
      <w:t>Nr Projektu: POIS.02.01.00-00-0016/16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4"/>
    <w:multiLevelType w:val="multilevel"/>
    <w:tmpl w:val="B59CB1BE"/>
    <w:name w:val="WW8Num52"/>
    <w:lvl w:ilvl="0">
      <w:start w:val="2"/>
      <w:numFmt w:val="decimal"/>
      <w:lvlText w:val="%1."/>
      <w:lvlJc w:val="left"/>
      <w:pPr>
        <w:tabs>
          <w:tab w:val="num" w:pos="0"/>
        </w:tabs>
        <w:ind w:left="720" w:hanging="360"/>
      </w:pPr>
      <w:rPr>
        <w:rFonts w:ascii="Times New Roman" w:eastAsia="PMingLiU" w:hAnsi="Times New Roman" w:cs="Times New Roman" w:hint="default"/>
        <w:sz w:val="22"/>
        <w:szCs w:val="22"/>
      </w:rPr>
    </w:lvl>
    <w:lvl w:ilvl="1">
      <w:start w:val="1"/>
      <w:numFmt w:val="decimal"/>
      <w:lvlText w:val="%1.%2"/>
      <w:lvlJc w:val="left"/>
      <w:pPr>
        <w:tabs>
          <w:tab w:val="num" w:pos="0"/>
        </w:tabs>
        <w:ind w:left="840" w:hanging="480"/>
      </w:pPr>
      <w:rPr>
        <w:rFonts w:ascii="Times New Roman" w:eastAsia="PMingLiU" w:hAnsi="Times New Roman" w:cs="Times New Roman" w:hint="default"/>
        <w:sz w:val="22"/>
        <w:szCs w:val="22"/>
      </w:rPr>
    </w:lvl>
    <w:lvl w:ilvl="2">
      <w:start w:val="1"/>
      <w:numFmt w:val="decimal"/>
      <w:lvlText w:val="%1.%2.%3"/>
      <w:lvlJc w:val="left"/>
      <w:pPr>
        <w:tabs>
          <w:tab w:val="num" w:pos="0"/>
        </w:tabs>
        <w:ind w:left="1080" w:hanging="720"/>
      </w:pPr>
      <w:rPr>
        <w:rFonts w:ascii="Times New Roman" w:eastAsia="PMingLiU" w:hAnsi="Times New Roman" w:cs="Times New Roman" w:hint="default"/>
        <w:sz w:val="22"/>
        <w:szCs w:val="22"/>
      </w:rPr>
    </w:lvl>
    <w:lvl w:ilvl="3">
      <w:start w:val="1"/>
      <w:numFmt w:val="decimal"/>
      <w:lvlText w:val="%1.%2.%3.%4"/>
      <w:lvlJc w:val="left"/>
      <w:pPr>
        <w:tabs>
          <w:tab w:val="num" w:pos="0"/>
        </w:tabs>
        <w:ind w:left="1080" w:hanging="720"/>
      </w:pPr>
      <w:rPr>
        <w:rFonts w:ascii="Times New Roman" w:eastAsia="PMingLiU" w:hAnsi="Times New Roman" w:cs="Times New Roman" w:hint="default"/>
        <w:sz w:val="22"/>
        <w:szCs w:val="22"/>
      </w:rPr>
    </w:lvl>
    <w:lvl w:ilvl="4">
      <w:start w:val="1"/>
      <w:numFmt w:val="decimal"/>
      <w:lvlText w:val="%1.%2.%3.%4.%5"/>
      <w:lvlJc w:val="left"/>
      <w:pPr>
        <w:tabs>
          <w:tab w:val="num" w:pos="0"/>
        </w:tabs>
        <w:ind w:left="1440" w:hanging="1080"/>
      </w:pPr>
      <w:rPr>
        <w:rFonts w:ascii="Times New Roman" w:eastAsia="PMingLiU" w:hAnsi="Times New Roman" w:cs="Times New Roman" w:hint="default"/>
        <w:sz w:val="22"/>
        <w:szCs w:val="22"/>
      </w:rPr>
    </w:lvl>
    <w:lvl w:ilvl="5">
      <w:start w:val="1"/>
      <w:numFmt w:val="decimal"/>
      <w:lvlText w:val="%1.%2.%3.%4.%5.%6"/>
      <w:lvlJc w:val="left"/>
      <w:pPr>
        <w:tabs>
          <w:tab w:val="num" w:pos="0"/>
        </w:tabs>
        <w:ind w:left="1440" w:hanging="1080"/>
      </w:pPr>
      <w:rPr>
        <w:rFonts w:ascii="Times New Roman" w:eastAsia="PMingLiU" w:hAnsi="Times New Roman" w:cs="Times New Roman" w:hint="default"/>
        <w:sz w:val="22"/>
        <w:szCs w:val="22"/>
      </w:rPr>
    </w:lvl>
    <w:lvl w:ilvl="6">
      <w:start w:val="1"/>
      <w:numFmt w:val="decimal"/>
      <w:lvlText w:val="%1.%2.%3.%4.%5.%6.%7"/>
      <w:lvlJc w:val="left"/>
      <w:pPr>
        <w:tabs>
          <w:tab w:val="num" w:pos="0"/>
        </w:tabs>
        <w:ind w:left="1800" w:hanging="1440"/>
      </w:pPr>
      <w:rPr>
        <w:rFonts w:ascii="Times New Roman" w:eastAsia="PMingLiU" w:hAnsi="Times New Roman" w:cs="Times New Roman" w:hint="default"/>
        <w:sz w:val="22"/>
        <w:szCs w:val="22"/>
      </w:rPr>
    </w:lvl>
    <w:lvl w:ilvl="7">
      <w:start w:val="1"/>
      <w:numFmt w:val="decimal"/>
      <w:lvlText w:val="%1.%2.%3.%4.%5.%6.%7.%8"/>
      <w:lvlJc w:val="left"/>
      <w:pPr>
        <w:tabs>
          <w:tab w:val="num" w:pos="0"/>
        </w:tabs>
        <w:ind w:left="1800" w:hanging="1440"/>
      </w:pPr>
      <w:rPr>
        <w:rFonts w:ascii="Times New Roman" w:eastAsia="PMingLiU" w:hAnsi="Times New Roman" w:cs="Times New Roman" w:hint="default"/>
        <w:sz w:val="22"/>
        <w:szCs w:val="22"/>
      </w:rPr>
    </w:lvl>
    <w:lvl w:ilvl="8">
      <w:start w:val="1"/>
      <w:numFmt w:val="decimal"/>
      <w:lvlText w:val="%1.%2.%3.%4.%5.%6.%7.%8.%9"/>
      <w:lvlJc w:val="left"/>
      <w:pPr>
        <w:tabs>
          <w:tab w:val="num" w:pos="0"/>
        </w:tabs>
        <w:ind w:left="2160" w:hanging="1800"/>
      </w:pPr>
      <w:rPr>
        <w:rFonts w:ascii="Times New Roman" w:eastAsia="PMingLiU" w:hAnsi="Times New Roman" w:cs="Times New Roman" w:hint="default"/>
        <w:sz w:val="22"/>
        <w:szCs w:val="22"/>
      </w:rPr>
    </w:lvl>
  </w:abstractNum>
  <w:abstractNum w:abstractNumId="1">
    <w:nsid w:val="00643991"/>
    <w:multiLevelType w:val="hybridMultilevel"/>
    <w:tmpl w:val="5D9CB554"/>
    <w:lvl w:ilvl="0" w:tplc="E43A08C2">
      <w:start w:val="1"/>
      <w:numFmt w:val="ordinal"/>
      <w:suff w:val="space"/>
      <w:lvlText w:val="22.%1"/>
      <w:lvlJc w:val="left"/>
      <w:pPr>
        <w:ind w:left="1247" w:hanging="52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2B5374"/>
    <w:multiLevelType w:val="hybridMultilevel"/>
    <w:tmpl w:val="44AC037E"/>
    <w:lvl w:ilvl="0" w:tplc="81C605C8">
      <w:start w:val="1"/>
      <w:numFmt w:val="decimal"/>
      <w:lvlText w:val="%1"/>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E748C56">
      <w:start w:val="1"/>
      <w:numFmt w:val="lowerLetter"/>
      <w:lvlText w:val="%2"/>
      <w:lvlJc w:val="left"/>
      <w:pPr>
        <w:ind w:left="106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74A20CD6">
      <w:start w:val="1"/>
      <w:numFmt w:val="lowerLetter"/>
      <w:lvlText w:val="%3)"/>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52CE2AAC">
      <w:start w:val="1"/>
      <w:numFmt w:val="decimal"/>
      <w:lvlText w:val="%4"/>
      <w:lvlJc w:val="left"/>
      <w:pPr>
        <w:ind w:left="24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1DE8318">
      <w:start w:val="1"/>
      <w:numFmt w:val="lowerLetter"/>
      <w:lvlText w:val="%5"/>
      <w:lvlJc w:val="left"/>
      <w:pPr>
        <w:ind w:left="321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CB4EF194">
      <w:start w:val="1"/>
      <w:numFmt w:val="lowerRoman"/>
      <w:lvlText w:val="%6"/>
      <w:lvlJc w:val="left"/>
      <w:pPr>
        <w:ind w:left="39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E7827CE">
      <w:start w:val="1"/>
      <w:numFmt w:val="decimal"/>
      <w:lvlText w:val="%7"/>
      <w:lvlJc w:val="left"/>
      <w:pPr>
        <w:ind w:left="46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262FDD8">
      <w:start w:val="1"/>
      <w:numFmt w:val="lowerLetter"/>
      <w:lvlText w:val="%8"/>
      <w:lvlJc w:val="left"/>
      <w:pPr>
        <w:ind w:left="537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0FB848FC">
      <w:start w:val="1"/>
      <w:numFmt w:val="lowerRoman"/>
      <w:lvlText w:val="%9"/>
      <w:lvlJc w:val="left"/>
      <w:pPr>
        <w:ind w:left="60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
    <w:nsid w:val="065F1B3F"/>
    <w:multiLevelType w:val="multilevel"/>
    <w:tmpl w:val="FD4CF65C"/>
    <w:styleLink w:val="Styl2"/>
    <w:lvl w:ilvl="0">
      <w:start w:val="1"/>
      <w:numFmt w:val="decimal"/>
      <w:lvlText w:val="4.%1."/>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9AF2EC9"/>
    <w:multiLevelType w:val="hybridMultilevel"/>
    <w:tmpl w:val="F2CC2684"/>
    <w:lvl w:ilvl="0" w:tplc="04150017">
      <w:start w:val="1"/>
      <w:numFmt w:val="lowerLetter"/>
      <w:lvlText w:val="%1)"/>
      <w:lvlJc w:val="left"/>
      <w:pPr>
        <w:ind w:left="1768" w:hanging="360"/>
      </w:pPr>
      <w:rPr>
        <w:rFonts w:hint="default"/>
      </w:rPr>
    </w:lvl>
    <w:lvl w:ilvl="1" w:tplc="04150003" w:tentative="1">
      <w:start w:val="1"/>
      <w:numFmt w:val="bullet"/>
      <w:lvlText w:val="o"/>
      <w:lvlJc w:val="left"/>
      <w:pPr>
        <w:ind w:left="2488" w:hanging="360"/>
      </w:pPr>
      <w:rPr>
        <w:rFonts w:ascii="Courier New" w:hAnsi="Courier New" w:cs="Courier New" w:hint="default"/>
      </w:rPr>
    </w:lvl>
    <w:lvl w:ilvl="2" w:tplc="04150005" w:tentative="1">
      <w:start w:val="1"/>
      <w:numFmt w:val="bullet"/>
      <w:lvlText w:val=""/>
      <w:lvlJc w:val="left"/>
      <w:pPr>
        <w:ind w:left="3208" w:hanging="360"/>
      </w:pPr>
      <w:rPr>
        <w:rFonts w:ascii="Wingdings" w:hAnsi="Wingdings" w:hint="default"/>
      </w:rPr>
    </w:lvl>
    <w:lvl w:ilvl="3" w:tplc="04150001" w:tentative="1">
      <w:start w:val="1"/>
      <w:numFmt w:val="bullet"/>
      <w:lvlText w:val=""/>
      <w:lvlJc w:val="left"/>
      <w:pPr>
        <w:ind w:left="3928" w:hanging="360"/>
      </w:pPr>
      <w:rPr>
        <w:rFonts w:ascii="Symbol" w:hAnsi="Symbol" w:hint="default"/>
      </w:rPr>
    </w:lvl>
    <w:lvl w:ilvl="4" w:tplc="04150003" w:tentative="1">
      <w:start w:val="1"/>
      <w:numFmt w:val="bullet"/>
      <w:lvlText w:val="o"/>
      <w:lvlJc w:val="left"/>
      <w:pPr>
        <w:ind w:left="4648" w:hanging="360"/>
      </w:pPr>
      <w:rPr>
        <w:rFonts w:ascii="Courier New" w:hAnsi="Courier New" w:cs="Courier New" w:hint="default"/>
      </w:rPr>
    </w:lvl>
    <w:lvl w:ilvl="5" w:tplc="04150005" w:tentative="1">
      <w:start w:val="1"/>
      <w:numFmt w:val="bullet"/>
      <w:lvlText w:val=""/>
      <w:lvlJc w:val="left"/>
      <w:pPr>
        <w:ind w:left="5368" w:hanging="360"/>
      </w:pPr>
      <w:rPr>
        <w:rFonts w:ascii="Wingdings" w:hAnsi="Wingdings" w:hint="default"/>
      </w:rPr>
    </w:lvl>
    <w:lvl w:ilvl="6" w:tplc="04150001" w:tentative="1">
      <w:start w:val="1"/>
      <w:numFmt w:val="bullet"/>
      <w:lvlText w:val=""/>
      <w:lvlJc w:val="left"/>
      <w:pPr>
        <w:ind w:left="6088" w:hanging="360"/>
      </w:pPr>
      <w:rPr>
        <w:rFonts w:ascii="Symbol" w:hAnsi="Symbol" w:hint="default"/>
      </w:rPr>
    </w:lvl>
    <w:lvl w:ilvl="7" w:tplc="04150003" w:tentative="1">
      <w:start w:val="1"/>
      <w:numFmt w:val="bullet"/>
      <w:lvlText w:val="o"/>
      <w:lvlJc w:val="left"/>
      <w:pPr>
        <w:ind w:left="6808" w:hanging="360"/>
      </w:pPr>
      <w:rPr>
        <w:rFonts w:ascii="Courier New" w:hAnsi="Courier New" w:cs="Courier New" w:hint="default"/>
      </w:rPr>
    </w:lvl>
    <w:lvl w:ilvl="8" w:tplc="04150005" w:tentative="1">
      <w:start w:val="1"/>
      <w:numFmt w:val="bullet"/>
      <w:lvlText w:val=""/>
      <w:lvlJc w:val="left"/>
      <w:pPr>
        <w:ind w:left="7528" w:hanging="360"/>
      </w:pPr>
      <w:rPr>
        <w:rFonts w:ascii="Wingdings" w:hAnsi="Wingdings" w:hint="default"/>
      </w:rPr>
    </w:lvl>
  </w:abstractNum>
  <w:abstractNum w:abstractNumId="5">
    <w:nsid w:val="16597C35"/>
    <w:multiLevelType w:val="hybridMultilevel"/>
    <w:tmpl w:val="A3F43846"/>
    <w:lvl w:ilvl="0" w:tplc="C700FFBE">
      <w:start w:val="1"/>
      <w:numFmt w:val="decimal"/>
      <w:suff w:val="space"/>
      <w:lvlText w:val="22.%1."/>
      <w:lvlJc w:val="left"/>
      <w:pPr>
        <w:ind w:left="369" w:firstLine="453"/>
      </w:pPr>
      <w:rPr>
        <w:rFonts w:hint="default"/>
      </w:rPr>
    </w:lvl>
    <w:lvl w:ilvl="1" w:tplc="04150019" w:tentative="1">
      <w:start w:val="1"/>
      <w:numFmt w:val="lowerLetter"/>
      <w:lvlText w:val="%2."/>
      <w:lvlJc w:val="left"/>
      <w:pPr>
        <w:ind w:left="1525" w:hanging="360"/>
      </w:pPr>
    </w:lvl>
    <w:lvl w:ilvl="2" w:tplc="0415001B" w:tentative="1">
      <w:start w:val="1"/>
      <w:numFmt w:val="lowerRoman"/>
      <w:lvlText w:val="%3."/>
      <w:lvlJc w:val="right"/>
      <w:pPr>
        <w:ind w:left="2245" w:hanging="180"/>
      </w:pPr>
    </w:lvl>
    <w:lvl w:ilvl="3" w:tplc="0415000F" w:tentative="1">
      <w:start w:val="1"/>
      <w:numFmt w:val="decimal"/>
      <w:lvlText w:val="%4."/>
      <w:lvlJc w:val="left"/>
      <w:pPr>
        <w:ind w:left="2965" w:hanging="360"/>
      </w:pPr>
    </w:lvl>
    <w:lvl w:ilvl="4" w:tplc="04150019" w:tentative="1">
      <w:start w:val="1"/>
      <w:numFmt w:val="lowerLetter"/>
      <w:lvlText w:val="%5."/>
      <w:lvlJc w:val="left"/>
      <w:pPr>
        <w:ind w:left="3685" w:hanging="360"/>
      </w:pPr>
    </w:lvl>
    <w:lvl w:ilvl="5" w:tplc="0415001B" w:tentative="1">
      <w:start w:val="1"/>
      <w:numFmt w:val="lowerRoman"/>
      <w:lvlText w:val="%6."/>
      <w:lvlJc w:val="right"/>
      <w:pPr>
        <w:ind w:left="4405" w:hanging="180"/>
      </w:pPr>
    </w:lvl>
    <w:lvl w:ilvl="6" w:tplc="0415000F" w:tentative="1">
      <w:start w:val="1"/>
      <w:numFmt w:val="decimal"/>
      <w:lvlText w:val="%7."/>
      <w:lvlJc w:val="left"/>
      <w:pPr>
        <w:ind w:left="5125" w:hanging="360"/>
      </w:pPr>
    </w:lvl>
    <w:lvl w:ilvl="7" w:tplc="04150019" w:tentative="1">
      <w:start w:val="1"/>
      <w:numFmt w:val="lowerLetter"/>
      <w:lvlText w:val="%8."/>
      <w:lvlJc w:val="left"/>
      <w:pPr>
        <w:ind w:left="5845" w:hanging="360"/>
      </w:pPr>
    </w:lvl>
    <w:lvl w:ilvl="8" w:tplc="0415001B" w:tentative="1">
      <w:start w:val="1"/>
      <w:numFmt w:val="lowerRoman"/>
      <w:lvlText w:val="%9."/>
      <w:lvlJc w:val="right"/>
      <w:pPr>
        <w:ind w:left="6565" w:hanging="180"/>
      </w:pPr>
    </w:lvl>
  </w:abstractNum>
  <w:abstractNum w:abstractNumId="6">
    <w:nsid w:val="1E363F37"/>
    <w:multiLevelType w:val="hybridMultilevel"/>
    <w:tmpl w:val="128E552C"/>
    <w:lvl w:ilvl="0" w:tplc="EB329E44">
      <w:start w:val="1"/>
      <w:numFmt w:val="upperRoman"/>
      <w:pStyle w:val="nagwkiopz"/>
      <w:suff w:val="space"/>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334603"/>
    <w:multiLevelType w:val="hybridMultilevel"/>
    <w:tmpl w:val="70A4E2CC"/>
    <w:lvl w:ilvl="0" w:tplc="6D9A05F2">
      <w:start w:val="1"/>
      <w:numFmt w:val="decimal"/>
      <w:suff w:val="space"/>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0320F5"/>
    <w:multiLevelType w:val="hybridMultilevel"/>
    <w:tmpl w:val="62887D9A"/>
    <w:lvl w:ilvl="0" w:tplc="4864A108">
      <w:start w:val="1"/>
      <w:numFmt w:val="ordinal"/>
      <w:suff w:val="space"/>
      <w:lvlText w:val="12.%1"/>
      <w:lvlJc w:val="left"/>
      <w:pPr>
        <w:ind w:left="1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1E0BAA"/>
    <w:multiLevelType w:val="multilevel"/>
    <w:tmpl w:val="4FF4D7F6"/>
    <w:lvl w:ilvl="0">
      <w:start w:val="1"/>
      <w:numFmt w:val="lowerLetter"/>
      <w:pStyle w:val="Styl1"/>
      <w:lvlText w:val="%1)"/>
      <w:lvlJc w:val="left"/>
      <w:pPr>
        <w:ind w:left="720" w:hanging="360"/>
      </w:pPr>
      <w:rPr>
        <w:rFonts w:hint="default"/>
      </w:rPr>
    </w:lvl>
    <w:lvl w:ilvl="1">
      <w:start w:val="1"/>
      <w:numFmt w:val="bullet"/>
      <w:lvlText w:val=""/>
      <w:lvlJc w:val="left"/>
      <w:pPr>
        <w:ind w:left="1909" w:hanging="480"/>
      </w:pPr>
      <w:rPr>
        <w:rFonts w:ascii="Symbol" w:hAnsi="Symbol" w:hint="default"/>
        <w:b/>
        <w:color w:val="000000"/>
        <w:u w:val="single"/>
      </w:rPr>
    </w:lvl>
    <w:lvl w:ilvl="2">
      <w:start w:val="1"/>
      <w:numFmt w:val="decimal"/>
      <w:isLgl/>
      <w:lvlText w:val="%1.%2.%3"/>
      <w:lvlJc w:val="left"/>
      <w:pPr>
        <w:ind w:left="3218" w:hanging="720"/>
      </w:pPr>
      <w:rPr>
        <w:rFonts w:cs="Calibri" w:hint="default"/>
        <w:b/>
        <w:color w:val="000000"/>
        <w:u w:val="single"/>
      </w:rPr>
    </w:lvl>
    <w:lvl w:ilvl="3">
      <w:start w:val="1"/>
      <w:numFmt w:val="decimal"/>
      <w:isLgl/>
      <w:lvlText w:val="%1.%2.%3.%4"/>
      <w:lvlJc w:val="left"/>
      <w:pPr>
        <w:ind w:left="4287" w:hanging="720"/>
      </w:pPr>
      <w:rPr>
        <w:rFonts w:cs="Calibri" w:hint="default"/>
        <w:b/>
        <w:color w:val="000000"/>
        <w:u w:val="single"/>
      </w:rPr>
    </w:lvl>
    <w:lvl w:ilvl="4">
      <w:start w:val="1"/>
      <w:numFmt w:val="decimal"/>
      <w:isLgl/>
      <w:lvlText w:val="%1.%2.%3.%4.%5"/>
      <w:lvlJc w:val="left"/>
      <w:pPr>
        <w:ind w:left="5716" w:hanging="1080"/>
      </w:pPr>
      <w:rPr>
        <w:rFonts w:cs="Calibri" w:hint="default"/>
        <w:b/>
        <w:color w:val="000000"/>
        <w:u w:val="single"/>
      </w:rPr>
    </w:lvl>
    <w:lvl w:ilvl="5">
      <w:start w:val="1"/>
      <w:numFmt w:val="decimal"/>
      <w:isLgl/>
      <w:lvlText w:val="%1.%2.%3.%4.%5.%6"/>
      <w:lvlJc w:val="left"/>
      <w:pPr>
        <w:ind w:left="6785" w:hanging="1080"/>
      </w:pPr>
      <w:rPr>
        <w:rFonts w:cs="Calibri" w:hint="default"/>
        <w:b/>
        <w:color w:val="000000"/>
        <w:u w:val="single"/>
      </w:rPr>
    </w:lvl>
    <w:lvl w:ilvl="6">
      <w:start w:val="1"/>
      <w:numFmt w:val="decimal"/>
      <w:isLgl/>
      <w:lvlText w:val="%1.%2.%3.%4.%5.%6.%7"/>
      <w:lvlJc w:val="left"/>
      <w:pPr>
        <w:ind w:left="8214" w:hanging="1440"/>
      </w:pPr>
      <w:rPr>
        <w:rFonts w:cs="Calibri" w:hint="default"/>
        <w:b/>
        <w:color w:val="000000"/>
        <w:u w:val="single"/>
      </w:rPr>
    </w:lvl>
    <w:lvl w:ilvl="7">
      <w:start w:val="1"/>
      <w:numFmt w:val="decimal"/>
      <w:isLgl/>
      <w:lvlText w:val="%1.%2.%3.%4.%5.%6.%7.%8"/>
      <w:lvlJc w:val="left"/>
      <w:pPr>
        <w:ind w:left="9283" w:hanging="1440"/>
      </w:pPr>
      <w:rPr>
        <w:rFonts w:cs="Calibri" w:hint="default"/>
        <w:b/>
        <w:color w:val="000000"/>
        <w:u w:val="single"/>
      </w:rPr>
    </w:lvl>
    <w:lvl w:ilvl="8">
      <w:start w:val="1"/>
      <w:numFmt w:val="decimal"/>
      <w:isLgl/>
      <w:lvlText w:val="%1.%2.%3.%4.%5.%6.%7.%8.%9"/>
      <w:lvlJc w:val="left"/>
      <w:pPr>
        <w:ind w:left="10352" w:hanging="1440"/>
      </w:pPr>
      <w:rPr>
        <w:rFonts w:cs="Calibri" w:hint="default"/>
        <w:b/>
        <w:color w:val="000000"/>
        <w:u w:val="single"/>
      </w:rPr>
    </w:lvl>
  </w:abstractNum>
  <w:abstractNum w:abstractNumId="10">
    <w:nsid w:val="3E3E20CB"/>
    <w:multiLevelType w:val="hybridMultilevel"/>
    <w:tmpl w:val="71E4D5DE"/>
    <w:lvl w:ilvl="0" w:tplc="979CDD5A">
      <w:start w:val="1"/>
      <w:numFmt w:val="ordinal"/>
      <w:lvlText w:val="7.%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F118B1"/>
    <w:multiLevelType w:val="hybridMultilevel"/>
    <w:tmpl w:val="9BE4FC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508001D2"/>
    <w:multiLevelType w:val="hybridMultilevel"/>
    <w:tmpl w:val="FBD0F796"/>
    <w:lvl w:ilvl="0" w:tplc="74A20CD6">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247414"/>
    <w:multiLevelType w:val="hybridMultilevel"/>
    <w:tmpl w:val="5BA68498"/>
    <w:lvl w:ilvl="0" w:tplc="9C90C720">
      <w:start w:val="1"/>
      <w:numFmt w:val="ordinal"/>
      <w:lvlText w:val="6.%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C636A2"/>
    <w:multiLevelType w:val="hybridMultilevel"/>
    <w:tmpl w:val="42400BC6"/>
    <w:lvl w:ilvl="0" w:tplc="1F9C0E90">
      <w:start w:val="1"/>
      <w:numFmt w:val="decimal"/>
      <w:pStyle w:val="podpunkty"/>
      <w:lvlText w:val="3.%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10B0971"/>
    <w:multiLevelType w:val="multilevel"/>
    <w:tmpl w:val="244A9584"/>
    <w:lvl w:ilvl="0">
      <w:start w:val="1"/>
      <w:numFmt w:val="decimal"/>
      <w:pStyle w:val="Styl1punkty"/>
      <w:lvlText w:val="%1."/>
      <w:lvlJc w:val="left"/>
      <w:pPr>
        <w:ind w:left="680" w:hanging="320"/>
      </w:pPr>
      <w:rPr>
        <w:rFonts w:hint="default"/>
      </w:rPr>
    </w:lvl>
    <w:lvl w:ilvl="1">
      <w:start w:val="1"/>
      <w:numFmt w:val="decimal"/>
      <w:isLgl/>
      <w:lvlText w:val="%1.%2"/>
      <w:lvlJc w:val="left"/>
      <w:pPr>
        <w:ind w:left="1909" w:hanging="480"/>
      </w:pPr>
      <w:rPr>
        <w:rFonts w:cs="Calibri" w:hint="default"/>
        <w:b w:val="0"/>
        <w:color w:val="000000"/>
        <w:u w:val="none"/>
      </w:rPr>
    </w:lvl>
    <w:lvl w:ilvl="2">
      <w:start w:val="1"/>
      <w:numFmt w:val="decimal"/>
      <w:isLgl/>
      <w:lvlText w:val="%1.%2.%3"/>
      <w:lvlJc w:val="left"/>
      <w:pPr>
        <w:ind w:left="3218" w:hanging="720"/>
      </w:pPr>
      <w:rPr>
        <w:rFonts w:cs="Calibri" w:hint="default"/>
        <w:b/>
        <w:color w:val="000000"/>
        <w:u w:val="single"/>
      </w:rPr>
    </w:lvl>
    <w:lvl w:ilvl="3">
      <w:start w:val="1"/>
      <w:numFmt w:val="decimal"/>
      <w:isLgl/>
      <w:lvlText w:val="%1.%2.%3.%4"/>
      <w:lvlJc w:val="left"/>
      <w:pPr>
        <w:ind w:left="4287" w:hanging="720"/>
      </w:pPr>
      <w:rPr>
        <w:rFonts w:cs="Calibri" w:hint="default"/>
        <w:b/>
        <w:color w:val="000000"/>
        <w:u w:val="single"/>
      </w:rPr>
    </w:lvl>
    <w:lvl w:ilvl="4">
      <w:start w:val="1"/>
      <w:numFmt w:val="decimal"/>
      <w:isLgl/>
      <w:lvlText w:val="%1.%2.%3.%4.%5"/>
      <w:lvlJc w:val="left"/>
      <w:pPr>
        <w:ind w:left="5716" w:hanging="1080"/>
      </w:pPr>
      <w:rPr>
        <w:rFonts w:cs="Calibri" w:hint="default"/>
        <w:b/>
        <w:color w:val="000000"/>
        <w:u w:val="single"/>
      </w:rPr>
    </w:lvl>
    <w:lvl w:ilvl="5">
      <w:start w:val="1"/>
      <w:numFmt w:val="decimal"/>
      <w:isLgl/>
      <w:lvlText w:val="%1.%2.%3.%4.%5.%6"/>
      <w:lvlJc w:val="left"/>
      <w:pPr>
        <w:ind w:left="6785" w:hanging="1080"/>
      </w:pPr>
      <w:rPr>
        <w:rFonts w:cs="Calibri" w:hint="default"/>
        <w:b/>
        <w:color w:val="000000"/>
        <w:u w:val="single"/>
      </w:rPr>
    </w:lvl>
    <w:lvl w:ilvl="6">
      <w:start w:val="1"/>
      <w:numFmt w:val="decimal"/>
      <w:isLgl/>
      <w:lvlText w:val="%1.%2.%3.%4.%5.%6.%7"/>
      <w:lvlJc w:val="left"/>
      <w:pPr>
        <w:ind w:left="8214" w:hanging="1440"/>
      </w:pPr>
      <w:rPr>
        <w:rFonts w:cs="Calibri" w:hint="default"/>
        <w:b/>
        <w:color w:val="000000"/>
        <w:u w:val="single"/>
      </w:rPr>
    </w:lvl>
    <w:lvl w:ilvl="7">
      <w:start w:val="1"/>
      <w:numFmt w:val="decimal"/>
      <w:isLgl/>
      <w:lvlText w:val="%1.%2.%3.%4.%5.%6.%7.%8"/>
      <w:lvlJc w:val="left"/>
      <w:pPr>
        <w:ind w:left="9283" w:hanging="1440"/>
      </w:pPr>
      <w:rPr>
        <w:rFonts w:cs="Calibri" w:hint="default"/>
        <w:b/>
        <w:color w:val="000000"/>
        <w:u w:val="single"/>
      </w:rPr>
    </w:lvl>
    <w:lvl w:ilvl="8">
      <w:start w:val="1"/>
      <w:numFmt w:val="decimal"/>
      <w:isLgl/>
      <w:lvlText w:val="%1.%2.%3.%4.%5.%6.%7.%8.%9"/>
      <w:lvlJc w:val="left"/>
      <w:pPr>
        <w:ind w:left="10352" w:hanging="1440"/>
      </w:pPr>
      <w:rPr>
        <w:rFonts w:cs="Calibri" w:hint="default"/>
        <w:b/>
        <w:color w:val="000000"/>
        <w:u w:val="single"/>
      </w:rPr>
    </w:lvl>
  </w:abstractNum>
  <w:abstractNum w:abstractNumId="16">
    <w:nsid w:val="77926915"/>
    <w:multiLevelType w:val="multilevel"/>
    <w:tmpl w:val="FD4CF65C"/>
    <w:numStyleLink w:val="Styl2"/>
  </w:abstractNum>
  <w:abstractNum w:abstractNumId="17">
    <w:nsid w:val="79E81594"/>
    <w:multiLevelType w:val="hybridMultilevel"/>
    <w:tmpl w:val="35464EFE"/>
    <w:lvl w:ilvl="0" w:tplc="E8A837AC">
      <w:start w:val="1"/>
      <w:numFmt w:val="decimal"/>
      <w:lvlText w:val="%1."/>
      <w:lvlJc w:val="left"/>
      <w:pPr>
        <w:ind w:left="55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22"/>
      </w:pPr>
      <w:rPr>
        <w:rFonts w:hint="default"/>
        <w:b w:val="0"/>
        <w:i w:val="0"/>
        <w:strike w:val="0"/>
        <w:dstrike w:val="0"/>
        <w:color w:val="000000"/>
        <w:sz w:val="24"/>
        <w:szCs w:val="24"/>
        <w:u w:val="none" w:color="000000"/>
        <w:bdr w:val="none" w:sz="0" w:space="0" w:color="auto"/>
        <w:shd w:val="clear" w:color="auto" w:fill="auto"/>
        <w:vertAlign w:val="baseline"/>
      </w:rPr>
    </w:lvl>
    <w:lvl w:ilvl="2" w:tplc="B72A460A">
      <w:start w:val="1"/>
      <w:numFmt w:val="lowerLetter"/>
      <w:lvlText w:val="%3)"/>
      <w:lvlJc w:val="left"/>
      <w:pPr>
        <w:ind w:left="14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57DACDF6">
      <w:start w:val="1"/>
      <w:numFmt w:val="decimal"/>
      <w:lvlText w:val="%4"/>
      <w:lvlJc w:val="left"/>
      <w:pPr>
        <w:ind w:left="24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4C02AEE">
      <w:start w:val="1"/>
      <w:numFmt w:val="lowerLetter"/>
      <w:lvlText w:val="%5"/>
      <w:lvlJc w:val="left"/>
      <w:pPr>
        <w:ind w:left="321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126C88C">
      <w:start w:val="1"/>
      <w:numFmt w:val="lowerRoman"/>
      <w:lvlText w:val="%6"/>
      <w:lvlJc w:val="left"/>
      <w:pPr>
        <w:ind w:left="393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7D6AECE">
      <w:start w:val="1"/>
      <w:numFmt w:val="decimal"/>
      <w:lvlText w:val="%7"/>
      <w:lvlJc w:val="left"/>
      <w:pPr>
        <w:ind w:left="465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AD646D2E">
      <w:start w:val="1"/>
      <w:numFmt w:val="lowerLetter"/>
      <w:lvlText w:val="%8"/>
      <w:lvlJc w:val="left"/>
      <w:pPr>
        <w:ind w:left="537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A74DCF2">
      <w:start w:val="1"/>
      <w:numFmt w:val="lowerRoman"/>
      <w:lvlText w:val="%9"/>
      <w:lvlJc w:val="left"/>
      <w:pPr>
        <w:ind w:left="609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8">
    <w:nsid w:val="7CCB3C9D"/>
    <w:multiLevelType w:val="hybridMultilevel"/>
    <w:tmpl w:val="121C1BFC"/>
    <w:lvl w:ilvl="0" w:tplc="D38AED56">
      <w:start w:val="1"/>
      <w:numFmt w:val="lowerLetter"/>
      <w:pStyle w:val="podpodpunktyabc"/>
      <w:lvlText w:val="%1)"/>
      <w:lvlJc w:val="left"/>
      <w:pPr>
        <w:ind w:left="1713" w:hanging="360"/>
      </w:pPr>
      <w:rPr>
        <w:rFonts w:hint="default"/>
        <w:b w:val="0"/>
        <w:i w:val="0"/>
        <w:sz w:val="24"/>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9">
    <w:nsid w:val="7FC8782D"/>
    <w:multiLevelType w:val="hybridMultilevel"/>
    <w:tmpl w:val="FBD0F796"/>
    <w:lvl w:ilvl="0" w:tplc="74A20CD6">
      <w:start w:val="1"/>
      <w:numFmt w:val="lowerLetter"/>
      <w:lvlText w:val="%1)"/>
      <w:lvlJc w:val="left"/>
      <w:pPr>
        <w:ind w:left="1560"/>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5"/>
  </w:num>
  <w:num w:numId="3">
    <w:abstractNumId w:val="14"/>
  </w:num>
  <w:num w:numId="4">
    <w:abstractNumId w:val="18"/>
  </w:num>
  <w:num w:numId="5">
    <w:abstractNumId w:val="13"/>
  </w:num>
  <w:num w:numId="6">
    <w:abstractNumId w:val="10"/>
  </w:num>
  <w:num w:numId="7">
    <w:abstractNumId w:val="4"/>
  </w:num>
  <w:num w:numId="8">
    <w:abstractNumId w:val="8"/>
  </w:num>
  <w:num w:numId="9">
    <w:abstractNumId w:val="9"/>
  </w:num>
  <w:num w:numId="10">
    <w:abstractNumId w:val="1"/>
  </w:num>
  <w:num w:numId="11">
    <w:abstractNumId w:val="7"/>
  </w:num>
  <w:num w:numId="12">
    <w:abstractNumId w:val="5"/>
  </w:num>
  <w:num w:numId="13">
    <w:abstractNumId w:val="17"/>
  </w:num>
  <w:num w:numId="14">
    <w:abstractNumId w:val="2"/>
  </w:num>
  <w:num w:numId="15">
    <w:abstractNumId w:val="12"/>
  </w:num>
  <w:num w:numId="16">
    <w:abstractNumId w:val="19"/>
  </w:num>
  <w:num w:numId="17">
    <w:abstractNumId w:val="11"/>
  </w:num>
  <w:num w:numId="18">
    <w:abstractNumId w:val="15"/>
  </w:num>
  <w:num w:numId="19">
    <w:abstractNumId w:val="15"/>
  </w:num>
  <w:num w:numId="20">
    <w:abstractNumId w:val="15"/>
  </w:num>
  <w:num w:numId="21">
    <w:abstractNumId w:val="14"/>
  </w:num>
  <w:num w:numId="22">
    <w:abstractNumId w:val="14"/>
    <w:lvlOverride w:ilvl="0">
      <w:startOverride w:val="1"/>
    </w:lvlOverride>
  </w:num>
  <w:num w:numId="23">
    <w:abstractNumId w:val="3"/>
  </w:num>
  <w:num w:numId="24">
    <w:abstractNumId w:val="16"/>
  </w:num>
  <w:num w:numId="25">
    <w:abstractNumId w:val="14"/>
  </w:num>
  <w:num w:numId="26">
    <w:abstractNumId w:val="14"/>
  </w:num>
  <w:num w:numId="27">
    <w:abstractNumId w:val="14"/>
  </w:num>
  <w:num w:numId="2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5B"/>
    <w:rsid w:val="00004BE3"/>
    <w:rsid w:val="00012559"/>
    <w:rsid w:val="00023927"/>
    <w:rsid w:val="00040A87"/>
    <w:rsid w:val="00095650"/>
    <w:rsid w:val="000A626A"/>
    <w:rsid w:val="000B4612"/>
    <w:rsid w:val="000D28D6"/>
    <w:rsid w:val="000E1131"/>
    <w:rsid w:val="000F230F"/>
    <w:rsid w:val="000F30DB"/>
    <w:rsid w:val="000F3DCD"/>
    <w:rsid w:val="001060EF"/>
    <w:rsid w:val="0011779B"/>
    <w:rsid w:val="00120AA4"/>
    <w:rsid w:val="00155339"/>
    <w:rsid w:val="00164BEA"/>
    <w:rsid w:val="00173CC5"/>
    <w:rsid w:val="001763A0"/>
    <w:rsid w:val="001918CC"/>
    <w:rsid w:val="001A3D2F"/>
    <w:rsid w:val="001E3BE3"/>
    <w:rsid w:val="001E7C06"/>
    <w:rsid w:val="001F5EEB"/>
    <w:rsid w:val="001F799A"/>
    <w:rsid w:val="0020630B"/>
    <w:rsid w:val="002142ED"/>
    <w:rsid w:val="002254AC"/>
    <w:rsid w:val="00234E75"/>
    <w:rsid w:val="002449C6"/>
    <w:rsid w:val="0025611A"/>
    <w:rsid w:val="002607F0"/>
    <w:rsid w:val="00262089"/>
    <w:rsid w:val="00274AE3"/>
    <w:rsid w:val="002844CA"/>
    <w:rsid w:val="00290E49"/>
    <w:rsid w:val="002938DD"/>
    <w:rsid w:val="002B54E1"/>
    <w:rsid w:val="002D197A"/>
    <w:rsid w:val="002F448D"/>
    <w:rsid w:val="00317BA8"/>
    <w:rsid w:val="00346267"/>
    <w:rsid w:val="00353243"/>
    <w:rsid w:val="003A5F78"/>
    <w:rsid w:val="0043328C"/>
    <w:rsid w:val="00435127"/>
    <w:rsid w:val="0048393E"/>
    <w:rsid w:val="00497D88"/>
    <w:rsid w:val="005313F5"/>
    <w:rsid w:val="0054404D"/>
    <w:rsid w:val="005748A8"/>
    <w:rsid w:val="00577F59"/>
    <w:rsid w:val="005A42AA"/>
    <w:rsid w:val="005C233C"/>
    <w:rsid w:val="005C77C7"/>
    <w:rsid w:val="005E6864"/>
    <w:rsid w:val="005F4F43"/>
    <w:rsid w:val="00600F97"/>
    <w:rsid w:val="00613B2E"/>
    <w:rsid w:val="006311D3"/>
    <w:rsid w:val="00640696"/>
    <w:rsid w:val="00653929"/>
    <w:rsid w:val="0066186B"/>
    <w:rsid w:val="00664317"/>
    <w:rsid w:val="00695D7F"/>
    <w:rsid w:val="006A53A6"/>
    <w:rsid w:val="006B1DBD"/>
    <w:rsid w:val="006C155B"/>
    <w:rsid w:val="006D72F4"/>
    <w:rsid w:val="006F0C30"/>
    <w:rsid w:val="007118FD"/>
    <w:rsid w:val="00722116"/>
    <w:rsid w:val="0074709B"/>
    <w:rsid w:val="00747BCF"/>
    <w:rsid w:val="007706F2"/>
    <w:rsid w:val="007902E2"/>
    <w:rsid w:val="00791E6F"/>
    <w:rsid w:val="007D1FA4"/>
    <w:rsid w:val="007D79DD"/>
    <w:rsid w:val="007E21B2"/>
    <w:rsid w:val="00805E2B"/>
    <w:rsid w:val="00824115"/>
    <w:rsid w:val="00863FB7"/>
    <w:rsid w:val="0088645E"/>
    <w:rsid w:val="008A6A3B"/>
    <w:rsid w:val="008B19ED"/>
    <w:rsid w:val="008B27C7"/>
    <w:rsid w:val="008B77B9"/>
    <w:rsid w:val="008F1796"/>
    <w:rsid w:val="00921452"/>
    <w:rsid w:val="00924473"/>
    <w:rsid w:val="009321D3"/>
    <w:rsid w:val="009578B6"/>
    <w:rsid w:val="00962932"/>
    <w:rsid w:val="009635E3"/>
    <w:rsid w:val="009704FC"/>
    <w:rsid w:val="00985BA8"/>
    <w:rsid w:val="00990D7B"/>
    <w:rsid w:val="009922FD"/>
    <w:rsid w:val="009A2D5F"/>
    <w:rsid w:val="009B1B81"/>
    <w:rsid w:val="009E34F1"/>
    <w:rsid w:val="00A11B68"/>
    <w:rsid w:val="00A20105"/>
    <w:rsid w:val="00A4020E"/>
    <w:rsid w:val="00A60173"/>
    <w:rsid w:val="00A62832"/>
    <w:rsid w:val="00AC4503"/>
    <w:rsid w:val="00AD141D"/>
    <w:rsid w:val="00AE199E"/>
    <w:rsid w:val="00AE69F2"/>
    <w:rsid w:val="00B109C0"/>
    <w:rsid w:val="00B47D69"/>
    <w:rsid w:val="00B7145A"/>
    <w:rsid w:val="00B76CDD"/>
    <w:rsid w:val="00BA5B7B"/>
    <w:rsid w:val="00BA6977"/>
    <w:rsid w:val="00BB183E"/>
    <w:rsid w:val="00BB666D"/>
    <w:rsid w:val="00BC1E80"/>
    <w:rsid w:val="00C01FC6"/>
    <w:rsid w:val="00C20059"/>
    <w:rsid w:val="00C20D52"/>
    <w:rsid w:val="00C316CC"/>
    <w:rsid w:val="00C3481E"/>
    <w:rsid w:val="00C34F04"/>
    <w:rsid w:val="00C554B2"/>
    <w:rsid w:val="00C76F55"/>
    <w:rsid w:val="00C91699"/>
    <w:rsid w:val="00C92D3B"/>
    <w:rsid w:val="00C92DB8"/>
    <w:rsid w:val="00CB4797"/>
    <w:rsid w:val="00CB5D7D"/>
    <w:rsid w:val="00CE6BC1"/>
    <w:rsid w:val="00D02E0F"/>
    <w:rsid w:val="00D10472"/>
    <w:rsid w:val="00D31BB0"/>
    <w:rsid w:val="00D64311"/>
    <w:rsid w:val="00D732F9"/>
    <w:rsid w:val="00D97B4E"/>
    <w:rsid w:val="00DB0D74"/>
    <w:rsid w:val="00DB16DC"/>
    <w:rsid w:val="00E037AD"/>
    <w:rsid w:val="00E40245"/>
    <w:rsid w:val="00E55EAC"/>
    <w:rsid w:val="00E56DB2"/>
    <w:rsid w:val="00E765E7"/>
    <w:rsid w:val="00E9407E"/>
    <w:rsid w:val="00EA0B83"/>
    <w:rsid w:val="00EB1D04"/>
    <w:rsid w:val="00EB7394"/>
    <w:rsid w:val="00EB7673"/>
    <w:rsid w:val="00EC57F9"/>
    <w:rsid w:val="00EE2097"/>
    <w:rsid w:val="00F04842"/>
    <w:rsid w:val="00F1590C"/>
    <w:rsid w:val="00F225ED"/>
    <w:rsid w:val="00F25634"/>
    <w:rsid w:val="00F5136F"/>
    <w:rsid w:val="00F67FD7"/>
    <w:rsid w:val="00FB441E"/>
    <w:rsid w:val="00FB4673"/>
    <w:rsid w:val="00FC5D17"/>
    <w:rsid w:val="00FD7ABA"/>
    <w:rsid w:val="00FF24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D24AAD5"/>
  <w15:chartTrackingRefBased/>
  <w15:docId w15:val="{EBE79497-9B7E-48CE-B7D8-714265D0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55B"/>
    <w:pPr>
      <w:spacing w:after="200" w:line="276"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155B"/>
    <w:pPr>
      <w:ind w:left="720"/>
      <w:contextualSpacing/>
    </w:pPr>
  </w:style>
  <w:style w:type="paragraph" w:customStyle="1" w:styleId="nagwkiopz">
    <w:name w:val="nagłówki opz"/>
    <w:basedOn w:val="Akapitzlist"/>
    <w:link w:val="nagwkiopzZnak"/>
    <w:qFormat/>
    <w:rsid w:val="006C155B"/>
    <w:pPr>
      <w:numPr>
        <w:numId w:val="1"/>
      </w:numPr>
    </w:pPr>
    <w:rPr>
      <w:b/>
    </w:rPr>
  </w:style>
  <w:style w:type="paragraph" w:customStyle="1" w:styleId="Styl1punkty">
    <w:name w:val="Styl1 punkty"/>
    <w:basedOn w:val="Normalny"/>
    <w:link w:val="Styl1punktyZnak"/>
    <w:qFormat/>
    <w:rsid w:val="006C155B"/>
    <w:pPr>
      <w:numPr>
        <w:numId w:val="2"/>
      </w:numPr>
      <w:spacing w:after="120"/>
    </w:pPr>
  </w:style>
  <w:style w:type="character" w:customStyle="1" w:styleId="AkapitzlistZnak">
    <w:name w:val="Akapit z listą Znak"/>
    <w:basedOn w:val="Domylnaczcionkaakapitu"/>
    <w:link w:val="Akapitzlist"/>
    <w:uiPriority w:val="34"/>
    <w:rsid w:val="006C155B"/>
  </w:style>
  <w:style w:type="character" w:customStyle="1" w:styleId="nagwkiopzZnak">
    <w:name w:val="nagłówki opz Znak"/>
    <w:basedOn w:val="AkapitzlistZnak"/>
    <w:link w:val="nagwkiopz"/>
    <w:rsid w:val="006C155B"/>
    <w:rPr>
      <w:rFonts w:ascii="Calibri" w:eastAsia="Calibri" w:hAnsi="Calibri" w:cs="Times New Roman"/>
      <w:b/>
    </w:rPr>
  </w:style>
  <w:style w:type="character" w:customStyle="1" w:styleId="Styl1punktyZnak">
    <w:name w:val="Styl1 punkty Znak"/>
    <w:link w:val="Styl1punkty"/>
    <w:rsid w:val="006C155B"/>
    <w:rPr>
      <w:rFonts w:ascii="Calibri" w:eastAsia="Calibri" w:hAnsi="Calibri" w:cs="Times New Roman"/>
    </w:rPr>
  </w:style>
  <w:style w:type="paragraph" w:customStyle="1" w:styleId="podpunkty">
    <w:name w:val="podpunkty"/>
    <w:basedOn w:val="Normalny"/>
    <w:link w:val="podpunktyZnak"/>
    <w:qFormat/>
    <w:rsid w:val="006C155B"/>
    <w:pPr>
      <w:numPr>
        <w:numId w:val="3"/>
      </w:numPr>
      <w:spacing w:after="120"/>
    </w:pPr>
  </w:style>
  <w:style w:type="character" w:customStyle="1" w:styleId="podpunktyZnak">
    <w:name w:val="podpunkty Znak"/>
    <w:basedOn w:val="Domylnaczcionkaakapitu"/>
    <w:link w:val="podpunkty"/>
    <w:rsid w:val="006C155B"/>
    <w:rPr>
      <w:rFonts w:ascii="Calibri" w:eastAsia="Calibri" w:hAnsi="Calibri" w:cs="Times New Roman"/>
    </w:rPr>
  </w:style>
  <w:style w:type="paragraph" w:customStyle="1" w:styleId="podpodpunktyabc">
    <w:name w:val="podpodpunkty abc"/>
    <w:basedOn w:val="Normalny"/>
    <w:link w:val="podpodpunktyabcZnak"/>
    <w:qFormat/>
    <w:rsid w:val="006C155B"/>
    <w:pPr>
      <w:numPr>
        <w:numId w:val="4"/>
      </w:numPr>
      <w:spacing w:after="120"/>
      <w:ind w:left="1276" w:hanging="357"/>
    </w:pPr>
  </w:style>
  <w:style w:type="character" w:customStyle="1" w:styleId="podpodpunktyabcZnak">
    <w:name w:val="podpodpunkty abc Znak"/>
    <w:basedOn w:val="Domylnaczcionkaakapitu"/>
    <w:link w:val="podpodpunktyabc"/>
    <w:rsid w:val="006C155B"/>
    <w:rPr>
      <w:rFonts w:ascii="Calibri" w:eastAsia="Calibri" w:hAnsi="Calibri" w:cs="Times New Roman"/>
    </w:rPr>
  </w:style>
  <w:style w:type="paragraph" w:styleId="Stopka">
    <w:name w:val="footer"/>
    <w:basedOn w:val="Normalny"/>
    <w:link w:val="StopkaZnak"/>
    <w:uiPriority w:val="99"/>
    <w:unhideWhenUsed/>
    <w:rsid w:val="00D64311"/>
    <w:pPr>
      <w:tabs>
        <w:tab w:val="center" w:pos="4536"/>
        <w:tab w:val="right" w:pos="9072"/>
      </w:tabs>
      <w:jc w:val="left"/>
    </w:pPr>
  </w:style>
  <w:style w:type="character" w:customStyle="1" w:styleId="StopkaZnak">
    <w:name w:val="Stopka Znak"/>
    <w:basedOn w:val="Domylnaczcionkaakapitu"/>
    <w:link w:val="Stopka"/>
    <w:uiPriority w:val="99"/>
    <w:rsid w:val="00D64311"/>
    <w:rPr>
      <w:rFonts w:ascii="Calibri" w:eastAsia="Calibri" w:hAnsi="Calibri" w:cs="Times New Roman"/>
    </w:rPr>
  </w:style>
  <w:style w:type="paragraph" w:customStyle="1" w:styleId="Styl2podpunkty">
    <w:name w:val="Styl 2 podpunkty"/>
    <w:basedOn w:val="Normalny"/>
    <w:link w:val="Styl2podpunktyZnak"/>
    <w:qFormat/>
    <w:rsid w:val="00D64311"/>
    <w:pPr>
      <w:spacing w:after="120"/>
    </w:pPr>
  </w:style>
  <w:style w:type="character" w:customStyle="1" w:styleId="Styl2podpunktyZnak">
    <w:name w:val="Styl 2 podpunkty Znak"/>
    <w:link w:val="Styl2podpunkty"/>
    <w:rsid w:val="00D64311"/>
    <w:rPr>
      <w:rFonts w:ascii="Calibri" w:eastAsia="Calibri" w:hAnsi="Calibri" w:cs="Times New Roman"/>
    </w:rPr>
  </w:style>
  <w:style w:type="paragraph" w:customStyle="1" w:styleId="bodytext22">
    <w:name w:val="bodytext22"/>
    <w:basedOn w:val="Normalny"/>
    <w:rsid w:val="001F5EEB"/>
    <w:pPr>
      <w:spacing w:before="100" w:beforeAutospacing="1" w:after="100" w:afterAutospacing="1" w:line="240" w:lineRule="auto"/>
      <w:jc w:val="left"/>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6311D3"/>
    <w:rPr>
      <w:color w:val="0563C1" w:themeColor="hyperlink"/>
      <w:u w:val="single"/>
    </w:rPr>
  </w:style>
  <w:style w:type="character" w:customStyle="1" w:styleId="Nierozpoznanawzmianka1">
    <w:name w:val="Nierozpoznana wzmianka1"/>
    <w:basedOn w:val="Domylnaczcionkaakapitu"/>
    <w:uiPriority w:val="99"/>
    <w:semiHidden/>
    <w:unhideWhenUsed/>
    <w:rsid w:val="006311D3"/>
    <w:rPr>
      <w:color w:val="605E5C"/>
      <w:shd w:val="clear" w:color="auto" w:fill="E1DFDD"/>
    </w:rPr>
  </w:style>
  <w:style w:type="table" w:styleId="Tabela-Siatka">
    <w:name w:val="Table Grid"/>
    <w:basedOn w:val="Standardowy"/>
    <w:uiPriority w:val="39"/>
    <w:rsid w:val="00004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A626A"/>
    <w:pPr>
      <w:spacing w:after="0" w:line="240" w:lineRule="auto"/>
      <w:jc w:val="left"/>
    </w:pPr>
    <w:rPr>
      <w:rFonts w:ascii="Tahoma" w:hAnsi="Tahoma" w:cs="Tahoma"/>
      <w:sz w:val="16"/>
      <w:szCs w:val="16"/>
    </w:rPr>
  </w:style>
  <w:style w:type="character" w:customStyle="1" w:styleId="TekstdymkaZnak">
    <w:name w:val="Tekst dymka Znak"/>
    <w:basedOn w:val="Domylnaczcionkaakapitu"/>
    <w:link w:val="Tekstdymka"/>
    <w:uiPriority w:val="99"/>
    <w:semiHidden/>
    <w:rsid w:val="000A626A"/>
    <w:rPr>
      <w:rFonts w:ascii="Tahoma" w:eastAsia="Calibri" w:hAnsi="Tahoma" w:cs="Tahoma"/>
      <w:sz w:val="16"/>
      <w:szCs w:val="16"/>
    </w:rPr>
  </w:style>
  <w:style w:type="paragraph" w:styleId="Nagwek">
    <w:name w:val="header"/>
    <w:basedOn w:val="Normalny"/>
    <w:link w:val="NagwekZnak"/>
    <w:uiPriority w:val="99"/>
    <w:unhideWhenUsed/>
    <w:rsid w:val="000A626A"/>
    <w:pPr>
      <w:tabs>
        <w:tab w:val="center" w:pos="4536"/>
        <w:tab w:val="right" w:pos="9072"/>
      </w:tabs>
      <w:jc w:val="left"/>
    </w:pPr>
  </w:style>
  <w:style w:type="character" w:customStyle="1" w:styleId="NagwekZnak">
    <w:name w:val="Nagłówek Znak"/>
    <w:basedOn w:val="Domylnaczcionkaakapitu"/>
    <w:link w:val="Nagwek"/>
    <w:uiPriority w:val="99"/>
    <w:rsid w:val="000A626A"/>
    <w:rPr>
      <w:rFonts w:ascii="Calibri" w:eastAsia="Calibri" w:hAnsi="Calibri" w:cs="Times New Roman"/>
    </w:rPr>
  </w:style>
  <w:style w:type="character" w:styleId="Odwoaniedokomentarza">
    <w:name w:val="annotation reference"/>
    <w:unhideWhenUsed/>
    <w:rsid w:val="000A626A"/>
    <w:rPr>
      <w:sz w:val="16"/>
      <w:szCs w:val="16"/>
    </w:rPr>
  </w:style>
  <w:style w:type="paragraph" w:styleId="Tekstkomentarza">
    <w:name w:val="annotation text"/>
    <w:basedOn w:val="Normalny"/>
    <w:link w:val="TekstkomentarzaZnak"/>
    <w:unhideWhenUsed/>
    <w:rsid w:val="000A626A"/>
    <w:pPr>
      <w:jc w:val="left"/>
    </w:pPr>
    <w:rPr>
      <w:sz w:val="20"/>
      <w:szCs w:val="20"/>
    </w:rPr>
  </w:style>
  <w:style w:type="character" w:customStyle="1" w:styleId="TekstkomentarzaZnak">
    <w:name w:val="Tekst komentarza Znak"/>
    <w:basedOn w:val="Domylnaczcionkaakapitu"/>
    <w:link w:val="Tekstkomentarza"/>
    <w:rsid w:val="000A626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A626A"/>
    <w:rPr>
      <w:b/>
      <w:bCs/>
    </w:rPr>
  </w:style>
  <w:style w:type="character" w:customStyle="1" w:styleId="TematkomentarzaZnak">
    <w:name w:val="Temat komentarza Znak"/>
    <w:basedOn w:val="TekstkomentarzaZnak"/>
    <w:link w:val="Tematkomentarza"/>
    <w:uiPriority w:val="99"/>
    <w:semiHidden/>
    <w:rsid w:val="000A626A"/>
    <w:rPr>
      <w:rFonts w:ascii="Calibri" w:eastAsia="Calibri" w:hAnsi="Calibri" w:cs="Times New Roman"/>
      <w:b/>
      <w:bCs/>
      <w:sz w:val="20"/>
      <w:szCs w:val="20"/>
    </w:rPr>
  </w:style>
  <w:style w:type="paragraph" w:styleId="Tekstprzypisudolnego">
    <w:name w:val="footnote text"/>
    <w:basedOn w:val="Normalny"/>
    <w:link w:val="TekstprzypisudolnegoZnak"/>
    <w:uiPriority w:val="99"/>
    <w:semiHidden/>
    <w:rsid w:val="000A626A"/>
    <w:pPr>
      <w:spacing w:after="0" w:line="240" w:lineRule="auto"/>
      <w:jc w:val="left"/>
    </w:pPr>
    <w:rPr>
      <w:rFonts w:ascii="Times New Roman" w:eastAsia="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semiHidden/>
    <w:rsid w:val="000A626A"/>
    <w:rPr>
      <w:rFonts w:ascii="Times New Roman" w:eastAsia="Times New Roman" w:hAnsi="Times New Roman" w:cs="Times New Roman"/>
      <w:sz w:val="20"/>
      <w:szCs w:val="20"/>
      <w:lang w:val="x-none" w:eastAsia="pl-PL"/>
    </w:rPr>
  </w:style>
  <w:style w:type="character" w:styleId="Odwoanieprzypisudolnego">
    <w:name w:val="footnote reference"/>
    <w:uiPriority w:val="99"/>
    <w:rsid w:val="000A626A"/>
    <w:rPr>
      <w:rFonts w:cs="Times New Roman"/>
      <w:vertAlign w:val="superscript"/>
    </w:rPr>
  </w:style>
  <w:style w:type="paragraph" w:styleId="NormalnyWeb">
    <w:name w:val="Normal (Web)"/>
    <w:basedOn w:val="Normalny"/>
    <w:uiPriority w:val="99"/>
    <w:rsid w:val="000A626A"/>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alb">
    <w:name w:val="a_lb"/>
    <w:rsid w:val="000A626A"/>
  </w:style>
  <w:style w:type="paragraph" w:customStyle="1" w:styleId="Styl1">
    <w:name w:val="Styl1"/>
    <w:basedOn w:val="Styl1punkty"/>
    <w:link w:val="Styl1Znak"/>
    <w:qFormat/>
    <w:rsid w:val="000A626A"/>
    <w:pPr>
      <w:numPr>
        <w:numId w:val="9"/>
      </w:numPr>
      <w:spacing w:after="0"/>
      <w:ind w:left="0" w:firstLine="0"/>
    </w:pPr>
  </w:style>
  <w:style w:type="character" w:customStyle="1" w:styleId="Styl1Znak">
    <w:name w:val="Styl1 Znak"/>
    <w:basedOn w:val="Styl1punktyZnak"/>
    <w:link w:val="Styl1"/>
    <w:rsid w:val="000A626A"/>
    <w:rPr>
      <w:rFonts w:ascii="Calibri" w:eastAsia="Calibri" w:hAnsi="Calibri" w:cs="Times New Roman"/>
    </w:rPr>
  </w:style>
  <w:style w:type="character" w:customStyle="1" w:styleId="Nierozpoznanawzmianka2">
    <w:name w:val="Nierozpoznana wzmianka2"/>
    <w:basedOn w:val="Domylnaczcionkaakapitu"/>
    <w:uiPriority w:val="99"/>
    <w:semiHidden/>
    <w:unhideWhenUsed/>
    <w:rsid w:val="00924473"/>
    <w:rPr>
      <w:color w:val="605E5C"/>
      <w:shd w:val="clear" w:color="auto" w:fill="E1DFDD"/>
    </w:rPr>
  </w:style>
  <w:style w:type="character" w:customStyle="1" w:styleId="Nierozpoznanawzmianka3">
    <w:name w:val="Nierozpoznana wzmianka3"/>
    <w:basedOn w:val="Domylnaczcionkaakapitu"/>
    <w:uiPriority w:val="99"/>
    <w:semiHidden/>
    <w:unhideWhenUsed/>
    <w:rsid w:val="007118FD"/>
    <w:rPr>
      <w:color w:val="605E5C"/>
      <w:shd w:val="clear" w:color="auto" w:fill="E1DFDD"/>
    </w:rPr>
  </w:style>
  <w:style w:type="numbering" w:customStyle="1" w:styleId="Styl2">
    <w:name w:val="Styl2"/>
    <w:uiPriority w:val="99"/>
    <w:rsid w:val="000B461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r.eionet.europa.eu/help/W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C274-54D8-4FAE-90F5-2C009BED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12</Pages>
  <Words>4434</Words>
  <Characters>26605</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Sadowska</dc:creator>
  <cp:keywords/>
  <dc:description/>
  <cp:lastModifiedBy>Louis Courseau</cp:lastModifiedBy>
  <cp:revision>32</cp:revision>
  <dcterms:created xsi:type="dcterms:W3CDTF">2019-07-29T11:31:00Z</dcterms:created>
  <dcterms:modified xsi:type="dcterms:W3CDTF">2019-08-30T06:41:00Z</dcterms:modified>
</cp:coreProperties>
</file>